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D60107">
      <w:pPr>
        <w:pStyle w:val="4"/>
        <w:spacing w:before="0" w:line="360" w:lineRule="auto"/>
        <w:ind w:left="113" w:right="113"/>
        <w:jc w:val="left"/>
        <w:rPr>
          <w:rFonts w:hint="default" w:asciiTheme="minorHAnsi" w:hAnsiTheme="minorHAnsi" w:cstheme="minorHAnsi"/>
          <w:bCs/>
          <w:i w:val="0"/>
          <w:iCs w:val="0"/>
          <w:sz w:val="22"/>
          <w:szCs w:val="22"/>
          <w:lang w:val="pl-PL"/>
        </w:rPr>
      </w:pPr>
      <w:r>
        <w:rPr>
          <w:rFonts w:hint="default" w:asciiTheme="minorHAnsi" w:hAnsiTheme="minorHAnsi" w:cstheme="minorHAnsi"/>
          <w:bCs/>
          <w:i w:val="0"/>
          <w:iCs w:val="0"/>
          <w:sz w:val="22"/>
          <w:szCs w:val="22"/>
          <w:lang w:val="pl-PL"/>
        </w:rPr>
        <w:t>RZP.271.2.40.2024</w:t>
      </w:r>
    </w:p>
    <w:p w14:paraId="45F78802">
      <w:pPr>
        <w:pStyle w:val="4"/>
        <w:spacing w:before="0" w:line="360" w:lineRule="auto"/>
        <w:ind w:left="113" w:right="113"/>
        <w:jc w:val="right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Cs/>
          <w:i/>
          <w:iCs/>
          <w:sz w:val="22"/>
          <w:szCs w:val="22"/>
        </w:rPr>
        <w:t>Załącznik nr 5 do SWZ</w:t>
      </w:r>
    </w:p>
    <w:p w14:paraId="4429910A">
      <w:pPr>
        <w:pStyle w:val="7"/>
        <w:rPr>
          <w:rFonts w:asciiTheme="minorHAnsi" w:hAnsiTheme="minorHAnsi" w:cstheme="minorHAnsi"/>
          <w:b/>
          <w:sz w:val="24"/>
          <w:szCs w:val="24"/>
        </w:rPr>
      </w:pPr>
    </w:p>
    <w:p w14:paraId="09ADFE15">
      <w:pPr>
        <w:pStyle w:val="4"/>
        <w:spacing w:before="0" w:line="360" w:lineRule="auto"/>
        <w:ind w:left="113" w:right="113"/>
        <w:jc w:val="center"/>
        <w:rPr>
          <w:rFonts w:asciiTheme="minorHAnsi" w:hAnsiTheme="minorHAnsi" w:cstheme="minorHAnsi"/>
          <w:b/>
          <w:bCs w:val="0"/>
        </w:rPr>
      </w:pPr>
      <w:r>
        <w:rPr>
          <w:rFonts w:asciiTheme="minorHAnsi" w:hAnsiTheme="minorHAnsi" w:cstheme="minorHAnsi"/>
          <w:b/>
          <w:bCs w:val="0"/>
        </w:rPr>
        <w:t>Projektowane postanowienia umowy,</w:t>
      </w:r>
    </w:p>
    <w:p w14:paraId="72F9301C">
      <w:pPr>
        <w:pStyle w:val="4"/>
        <w:spacing w:before="0" w:line="360" w:lineRule="auto"/>
        <w:ind w:left="113" w:right="113"/>
        <w:jc w:val="center"/>
        <w:rPr>
          <w:rFonts w:asciiTheme="minorHAnsi" w:hAnsiTheme="minorHAnsi" w:cstheme="minorHAnsi"/>
          <w:b/>
          <w:bCs w:val="0"/>
        </w:rPr>
      </w:pPr>
      <w:r>
        <w:rPr>
          <w:rFonts w:asciiTheme="minorHAnsi" w:hAnsiTheme="minorHAnsi" w:cstheme="minorHAnsi"/>
          <w:b/>
          <w:bCs w:val="0"/>
        </w:rPr>
        <w:t>Które zostaną wprowadzone do treści umowy w sprawie zamówienia</w:t>
      </w:r>
    </w:p>
    <w:p w14:paraId="5CB7A31F">
      <w:pPr>
        <w:pStyle w:val="4"/>
        <w:spacing w:before="0" w:line="360" w:lineRule="auto"/>
        <w:ind w:left="113" w:right="113"/>
        <w:jc w:val="center"/>
        <w:rPr>
          <w:rFonts w:asciiTheme="minorHAnsi" w:hAnsiTheme="minorHAnsi" w:cstheme="minorHAnsi"/>
          <w:b/>
          <w:bCs w:val="0"/>
        </w:rPr>
      </w:pPr>
      <w:r>
        <w:rPr>
          <w:rFonts w:asciiTheme="minorHAnsi" w:hAnsiTheme="minorHAnsi" w:cstheme="minorHAnsi"/>
          <w:b/>
          <w:bCs w:val="0"/>
        </w:rPr>
        <w:t>Umowa nr ____________</w:t>
      </w:r>
    </w:p>
    <w:p w14:paraId="1881AFC3">
      <w:pPr>
        <w:pStyle w:val="4"/>
        <w:spacing w:before="0" w:line="360" w:lineRule="auto"/>
        <w:ind w:left="113" w:right="113"/>
        <w:jc w:val="center"/>
        <w:rPr>
          <w:rFonts w:asciiTheme="minorHAnsi" w:hAnsiTheme="minorHAnsi" w:cstheme="minorHAnsi"/>
          <w:b/>
          <w:bCs w:val="0"/>
        </w:rPr>
      </w:pPr>
    </w:p>
    <w:p w14:paraId="0BF9CD55">
      <w:pPr>
        <w:pStyle w:val="4"/>
        <w:spacing w:before="0" w:line="360" w:lineRule="auto"/>
        <w:ind w:right="113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Cs/>
        </w:rPr>
        <w:t xml:space="preserve">Zawarta w dniu ........................... r.  w Wolbromiu, pomiędzy Zamawiającym - </w:t>
      </w:r>
      <w:r>
        <w:rPr>
          <w:rFonts w:asciiTheme="minorHAnsi" w:hAnsiTheme="minorHAnsi" w:cstheme="minorHAnsi"/>
          <w:b/>
        </w:rPr>
        <w:t xml:space="preserve">Gminą Wolbrom              </w:t>
      </w:r>
      <w:r>
        <w:rPr>
          <w:rFonts w:asciiTheme="minorHAnsi" w:hAnsiTheme="minorHAnsi" w:cstheme="minorHAnsi"/>
        </w:rPr>
        <w:t xml:space="preserve">z siedzibą przy ul. Krakowskiej 1, 32-340 Wolbrom, będącą organizatorem publicznego transportu zbiorowego, zwaną </w:t>
      </w:r>
      <w:bookmarkStart w:id="0" w:name="_Hlk97203784"/>
      <w:r>
        <w:rPr>
          <w:rFonts w:asciiTheme="minorHAnsi" w:hAnsiTheme="minorHAnsi" w:cstheme="minorHAnsi"/>
        </w:rPr>
        <w:t xml:space="preserve">w dalszej części umowy również </w:t>
      </w:r>
      <w:bookmarkEnd w:id="0"/>
      <w:r>
        <w:rPr>
          <w:rFonts w:asciiTheme="minorHAnsi" w:hAnsiTheme="minorHAnsi" w:cstheme="minorHAnsi"/>
          <w:b/>
          <w:bCs/>
        </w:rPr>
        <w:t>„Organizatorem”</w:t>
      </w:r>
      <w:r>
        <w:rPr>
          <w:rFonts w:asciiTheme="minorHAnsi" w:hAnsiTheme="minorHAnsi" w:cstheme="minorHAnsi"/>
        </w:rPr>
        <w:t>, reprezentowanym przez:</w:t>
      </w:r>
    </w:p>
    <w:p w14:paraId="0946ED08">
      <w:pPr>
        <w:pStyle w:val="4"/>
        <w:spacing w:before="0" w:line="360" w:lineRule="auto"/>
        <w:ind w:right="113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Burmistrza Miasta i Gminy Wolbrom – Radosława Kusia </w:t>
      </w:r>
    </w:p>
    <w:p w14:paraId="00FFF366">
      <w:pPr>
        <w:pStyle w:val="4"/>
        <w:spacing w:before="0" w:line="360" w:lineRule="auto"/>
        <w:ind w:right="113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przy kontrasygnacie </w:t>
      </w:r>
    </w:p>
    <w:p w14:paraId="762938F6">
      <w:pPr>
        <w:pStyle w:val="4"/>
        <w:spacing w:before="0" w:line="360" w:lineRule="auto"/>
        <w:ind w:right="113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Skarbnika Miasta i Gminy Wolbrom Edyty Żuchowicz - Reszka</w:t>
      </w:r>
    </w:p>
    <w:p w14:paraId="267B3C51">
      <w:pPr>
        <w:pStyle w:val="4"/>
        <w:spacing w:before="0" w:line="360" w:lineRule="auto"/>
        <w:ind w:left="113" w:right="-53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a</w:t>
      </w:r>
    </w:p>
    <w:p w14:paraId="60C5B3AF">
      <w:pPr>
        <w:pStyle w:val="4"/>
        <w:spacing w:before="0" w:line="360" w:lineRule="auto"/>
        <w:ind w:left="113" w:right="-53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Wykonawcą - …………………………………………………………………………………….</w:t>
      </w:r>
    </w:p>
    <w:p w14:paraId="790A149D">
      <w:pPr>
        <w:pStyle w:val="4"/>
        <w:spacing w:before="0" w:line="360" w:lineRule="auto"/>
        <w:ind w:left="113" w:right="139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zwanym w dalszej części umowy również </w:t>
      </w:r>
      <w:r>
        <w:rPr>
          <w:rFonts w:asciiTheme="minorHAnsi" w:hAnsiTheme="minorHAnsi" w:cstheme="minorHAnsi"/>
          <w:b/>
          <w:bCs/>
        </w:rPr>
        <w:t>„Operatorem”</w:t>
      </w:r>
      <w:r>
        <w:rPr>
          <w:rFonts w:asciiTheme="minorHAnsi" w:hAnsiTheme="minorHAnsi" w:cstheme="minorHAnsi"/>
        </w:rPr>
        <w:t>, prowadzącym działalność gospodarczą na  podstawie ..............................................................................................................</w:t>
      </w:r>
      <w:r>
        <w:rPr>
          <w:rFonts w:asciiTheme="minorHAnsi" w:hAnsiTheme="minorHAnsi" w:cstheme="minorHAnsi"/>
        </w:rPr>
        <w:br w:type="textWrapping"/>
      </w:r>
      <w:r>
        <w:rPr>
          <w:rFonts w:asciiTheme="minorHAnsi" w:hAnsiTheme="minorHAnsi" w:cstheme="minorHAnsi"/>
        </w:rPr>
        <w:t xml:space="preserve">reprezentowanym przez …………………………………………………………………..………,              </w:t>
      </w:r>
    </w:p>
    <w:p w14:paraId="453BA6C1">
      <w:pPr>
        <w:pStyle w:val="4"/>
        <w:spacing w:before="0" w:line="360" w:lineRule="auto"/>
        <w:ind w:left="113" w:right="139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NIP: ……………………………..……..……,REGON: ………………………………….……… </w:t>
      </w:r>
    </w:p>
    <w:p w14:paraId="1C790F89">
      <w:pPr>
        <w:pStyle w:val="4"/>
        <w:spacing w:before="0" w:line="360" w:lineRule="auto"/>
        <w:ind w:left="4765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§ 1</w:t>
      </w:r>
    </w:p>
    <w:p w14:paraId="6B55B0F1">
      <w:pPr>
        <w:spacing w:line="360" w:lineRule="auto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1. Na podstawie przeprowadzonego w trybie podstawowym postępowania o udzielenie zamówienia publicznego w oparciu o ustawę z dnia 11 września 2019 r. Prawo zamówień publicznych (tekst jednolity Dz.U. z 2024 r. poz. 1320) oraz na podstawie art. 19 ust. 1 pkt 1 ustawy z dnia 16 grudnia 2010 r. o publicznym transporcie zbiorowym (t.j. Dz. U. z 2023 r., poz. 2778 z późn. zm.), Zamawiający (Organizator) powierza wykonanie, a Wykonawca (Operator) przyjmuje do wykonania zadanie pod nazwą: „</w:t>
      </w:r>
      <w:r>
        <w:rPr>
          <w:rFonts w:asciiTheme="minorHAnsi" w:hAnsiTheme="minorHAnsi" w:cstheme="minorHAnsi"/>
          <w:b/>
          <w:bCs/>
          <w:i/>
          <w:iCs/>
          <w:sz w:val="24"/>
          <w:szCs w:val="24"/>
        </w:rPr>
        <w:t>Świadczenie usług przewozowych w zakresie publicznego transportu zbiorowego na terenie gminy Wolbrom</w:t>
      </w:r>
      <w:r>
        <w:rPr>
          <w:rFonts w:asciiTheme="minorHAnsi" w:hAnsiTheme="minorHAnsi" w:cstheme="minorHAnsi"/>
          <w:sz w:val="24"/>
          <w:szCs w:val="24"/>
        </w:rPr>
        <w:t>”.</w:t>
      </w:r>
    </w:p>
    <w:p w14:paraId="5171F3E7">
      <w:pPr>
        <w:spacing w:line="360" w:lineRule="auto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2. Organizator zleca,  a  Operator  przyjmuje  do  wykonywania  usługę  polegającą  na wykonywaniu publicznego transportu zbiorowego na terenie Gminy Wolbrom poprzez dokonywanie przewozów pasażerów na następujących liniach komunikacyjnych: </w:t>
      </w:r>
    </w:p>
    <w:p w14:paraId="2C156F66">
      <w:pPr>
        <w:spacing w:line="360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382C46C8">
      <w:pPr>
        <w:spacing w:line="360" w:lineRule="auto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b/>
          <w:bCs/>
          <w:sz w:val="24"/>
          <w:szCs w:val="24"/>
        </w:rPr>
        <w:t>Linia nr 1</w:t>
      </w:r>
      <w:r>
        <w:rPr>
          <w:rFonts w:asciiTheme="minorHAnsi" w:hAnsiTheme="minorHAnsi" w:cstheme="minorHAnsi"/>
          <w:sz w:val="24"/>
          <w:szCs w:val="24"/>
        </w:rPr>
        <w:t>: Wolbrom – Brzozówka – Wierzchowisko – Jeżówka – Podlesice II – Jeżówka – Boża Wola – Łobzów - Wolbrom</w:t>
      </w:r>
    </w:p>
    <w:p w14:paraId="15A44585">
      <w:pPr>
        <w:spacing w:line="360" w:lineRule="auto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b/>
          <w:bCs/>
          <w:sz w:val="24"/>
          <w:szCs w:val="24"/>
        </w:rPr>
        <w:t>Linia nr 2</w:t>
      </w:r>
      <w:r>
        <w:rPr>
          <w:rFonts w:asciiTheme="minorHAnsi" w:hAnsiTheme="minorHAnsi" w:cstheme="minorHAnsi"/>
          <w:sz w:val="24"/>
          <w:szCs w:val="24"/>
        </w:rPr>
        <w:t xml:space="preserve">: Wolbrom – Brzozówka – Wierzchowisko – Sulisławice – Wierzchowisko – Brzozówka - Wolbrom </w:t>
      </w:r>
    </w:p>
    <w:p w14:paraId="5A0BB124">
      <w:pPr>
        <w:spacing w:line="360" w:lineRule="auto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b/>
          <w:bCs/>
          <w:sz w:val="24"/>
          <w:szCs w:val="24"/>
        </w:rPr>
        <w:t>Linia nr 3</w:t>
      </w:r>
      <w:r>
        <w:rPr>
          <w:rFonts w:asciiTheme="minorHAnsi" w:hAnsiTheme="minorHAnsi" w:cstheme="minorHAnsi"/>
          <w:sz w:val="24"/>
          <w:szCs w:val="24"/>
        </w:rPr>
        <w:t>: Wolbrom – Chełm – Zasępiec – Poręba Górna – Budzyń – Lgota Wielka – Wierzchowisko – Brzozówka - Wolbrom</w:t>
      </w:r>
    </w:p>
    <w:p w14:paraId="0D97AA44">
      <w:pPr>
        <w:spacing w:line="360" w:lineRule="auto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b/>
          <w:bCs/>
          <w:sz w:val="24"/>
          <w:szCs w:val="24"/>
        </w:rPr>
        <w:t>Linia nr 4</w:t>
      </w:r>
      <w:r>
        <w:rPr>
          <w:rFonts w:asciiTheme="minorHAnsi" w:hAnsiTheme="minorHAnsi" w:cstheme="minorHAnsi"/>
          <w:sz w:val="24"/>
          <w:szCs w:val="24"/>
        </w:rPr>
        <w:t>: Wolbrom – Chełm – Gołaczewy – Chrząstowice – Zarzecze - Lgota Wolbromska – Wolbrom</w:t>
      </w:r>
    </w:p>
    <w:p w14:paraId="0E6BB3AB">
      <w:pPr>
        <w:spacing w:line="360" w:lineRule="auto"/>
        <w:jc w:val="both"/>
        <w:rPr>
          <w:rFonts w:asciiTheme="minorHAnsi" w:hAnsiTheme="minorHAnsi" w:cstheme="minorHAnsi"/>
          <w:sz w:val="24"/>
          <w:szCs w:val="24"/>
        </w:rPr>
      </w:pPr>
      <w:bookmarkStart w:id="1" w:name="_Hlk181775782"/>
      <w:r>
        <w:rPr>
          <w:rFonts w:asciiTheme="minorHAnsi" w:hAnsiTheme="minorHAnsi" w:cstheme="minorHAnsi"/>
          <w:b/>
          <w:bCs/>
          <w:sz w:val="24"/>
          <w:szCs w:val="24"/>
        </w:rPr>
        <w:t>Linia nr 5</w:t>
      </w:r>
      <w:bookmarkEnd w:id="1"/>
      <w:r>
        <w:rPr>
          <w:rFonts w:asciiTheme="minorHAnsi" w:hAnsiTheme="minorHAnsi" w:cstheme="minorHAnsi"/>
          <w:sz w:val="24"/>
          <w:szCs w:val="24"/>
        </w:rPr>
        <w:t>: Wolbrom - Lgota Wolbromska – Dłużec – Domaniewice – Załęże</w:t>
      </w:r>
    </w:p>
    <w:p w14:paraId="54D86D1A">
      <w:pPr>
        <w:spacing w:line="360" w:lineRule="auto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b/>
          <w:bCs/>
          <w:sz w:val="24"/>
          <w:szCs w:val="24"/>
        </w:rPr>
        <w:t>Linia nr 6</w:t>
      </w:r>
      <w:r>
        <w:rPr>
          <w:rFonts w:asciiTheme="minorHAnsi" w:hAnsiTheme="minorHAnsi" w:cstheme="minorHAnsi"/>
          <w:sz w:val="24"/>
          <w:szCs w:val="24"/>
        </w:rPr>
        <w:t>: Załęże – Domaniewice – Dłużec - Lgota Wolbromska - Wolbrom</w:t>
      </w:r>
    </w:p>
    <w:p w14:paraId="0DDE7150">
      <w:pPr>
        <w:spacing w:line="360" w:lineRule="auto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b/>
          <w:bCs/>
          <w:sz w:val="24"/>
          <w:szCs w:val="24"/>
        </w:rPr>
        <w:t>Linia nr 7</w:t>
      </w:r>
      <w:r>
        <w:rPr>
          <w:rFonts w:asciiTheme="minorHAnsi" w:hAnsiTheme="minorHAnsi" w:cstheme="minorHAnsi"/>
          <w:sz w:val="24"/>
          <w:szCs w:val="24"/>
        </w:rPr>
        <w:t xml:space="preserve">: Wolbrom – Zabagnie – Dłużec – Kąpiele Wielkie – Strzegowa – Kąpiele Wielkie – Dłużec – Domaniewice – Załęże </w:t>
      </w:r>
    </w:p>
    <w:p w14:paraId="29ADCF00">
      <w:pPr>
        <w:spacing w:line="360" w:lineRule="auto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b/>
          <w:bCs/>
          <w:sz w:val="24"/>
          <w:szCs w:val="24"/>
        </w:rPr>
        <w:t>Linia nr 8</w:t>
      </w:r>
      <w:r>
        <w:rPr>
          <w:rFonts w:asciiTheme="minorHAnsi" w:hAnsiTheme="minorHAnsi" w:cstheme="minorHAnsi"/>
          <w:sz w:val="24"/>
          <w:szCs w:val="24"/>
        </w:rPr>
        <w:t>: Załęże - Domaniewice – Dłużec – Kąpiele Wielkie – Strzegowa - Kąpiele Wielkie – Dłużec – Zabagnie - Wolbrom</w:t>
      </w:r>
    </w:p>
    <w:p w14:paraId="0BEAEAAD">
      <w:pPr>
        <w:spacing w:line="360" w:lineRule="auto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b/>
          <w:bCs/>
          <w:sz w:val="24"/>
          <w:szCs w:val="24"/>
        </w:rPr>
        <w:t>Linia nr 9</w:t>
      </w:r>
      <w:r>
        <w:rPr>
          <w:rFonts w:asciiTheme="minorHAnsi" w:hAnsiTheme="minorHAnsi" w:cstheme="minorHAnsi"/>
          <w:sz w:val="24"/>
          <w:szCs w:val="24"/>
        </w:rPr>
        <w:t>: Wolbrom – Łobzów – Poręba Dzierżna – Miechówka – Kąpiele Wielkie – Kąpiołki – Strzegowa – Kąpiele Wielkie – Kolonia Kąpielska – Łobzów - Wolbrom</w:t>
      </w:r>
    </w:p>
    <w:p w14:paraId="3C6C3F01">
      <w:pPr>
        <w:tabs>
          <w:tab w:val="left" w:pos="822"/>
        </w:tabs>
        <w:spacing w:line="360" w:lineRule="auto"/>
        <w:ind w:right="109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3. Szczegółowy zakres oraz warunki wykonania usługi określa treść Specyfikacji Warunków Zamówienia dla przeprowadzonego postępowania, której zapisy są wiążące oraz oferta Wykonawcy.</w:t>
      </w:r>
    </w:p>
    <w:p w14:paraId="1FB9D711">
      <w:pPr>
        <w:tabs>
          <w:tab w:val="left" w:pos="822"/>
        </w:tabs>
        <w:spacing w:line="360" w:lineRule="auto"/>
        <w:ind w:right="109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4. Trasę przejazdu dla linii określa rozkład stanowiący </w:t>
      </w:r>
      <w:r>
        <w:rPr>
          <w:rFonts w:asciiTheme="minorHAnsi" w:hAnsiTheme="minorHAnsi" w:cstheme="minorHAnsi"/>
          <w:b/>
          <w:bCs/>
          <w:sz w:val="24"/>
          <w:szCs w:val="24"/>
        </w:rPr>
        <w:t xml:space="preserve">załącznik nr 1 </w:t>
      </w:r>
      <w:r>
        <w:rPr>
          <w:rFonts w:asciiTheme="minorHAnsi" w:hAnsiTheme="minorHAnsi" w:cstheme="minorHAnsi"/>
          <w:sz w:val="24"/>
          <w:szCs w:val="24"/>
        </w:rPr>
        <w:t xml:space="preserve">do niniejszej </w:t>
      </w:r>
      <w:r>
        <w:rPr>
          <w:rFonts w:asciiTheme="minorHAnsi" w:hAnsiTheme="minorHAnsi" w:cstheme="minorHAnsi"/>
          <w:spacing w:val="-4"/>
          <w:sz w:val="24"/>
          <w:szCs w:val="24"/>
        </w:rPr>
        <w:t>umowy.</w:t>
      </w:r>
    </w:p>
    <w:p w14:paraId="377C6884">
      <w:pPr>
        <w:tabs>
          <w:tab w:val="left" w:pos="822"/>
        </w:tabs>
        <w:spacing w:line="360" w:lineRule="auto"/>
        <w:ind w:right="117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5. Bez pisemnej zgody Organizatora, Operator nie może zmieniać przebiegu trasy przejazdu linii ani rozkładu jazdy autobusów, określonych w załączniku do  niniejszej </w:t>
      </w:r>
      <w:r>
        <w:rPr>
          <w:rFonts w:asciiTheme="minorHAnsi" w:hAnsiTheme="minorHAnsi" w:cstheme="minorHAnsi"/>
          <w:spacing w:val="-4"/>
          <w:sz w:val="24"/>
          <w:szCs w:val="24"/>
        </w:rPr>
        <w:t>umowy.</w:t>
      </w:r>
    </w:p>
    <w:p w14:paraId="3AC2526A">
      <w:pPr>
        <w:pStyle w:val="4"/>
        <w:spacing w:before="0" w:line="360" w:lineRule="auto"/>
        <w:ind w:left="4765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§ 2</w:t>
      </w:r>
    </w:p>
    <w:p w14:paraId="4BE08AC4">
      <w:pPr>
        <w:pStyle w:val="9"/>
        <w:numPr>
          <w:ilvl w:val="0"/>
          <w:numId w:val="1"/>
        </w:numPr>
        <w:tabs>
          <w:tab w:val="left" w:pos="284"/>
        </w:tabs>
        <w:spacing w:before="0" w:line="360" w:lineRule="auto"/>
        <w:ind w:left="284" w:right="422" w:hanging="284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Operator będzie realizował usługę określoną niniejszą umową przy użyciu środków</w:t>
      </w:r>
      <w:r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>
        <w:rPr>
          <w:rFonts w:asciiTheme="minorHAnsi" w:hAnsiTheme="minorHAnsi" w:cstheme="minorHAnsi"/>
          <w:sz w:val="24"/>
          <w:szCs w:val="24"/>
        </w:rPr>
        <w:t>transportu.</w:t>
      </w:r>
    </w:p>
    <w:p w14:paraId="00386E61">
      <w:pPr>
        <w:pStyle w:val="9"/>
        <w:numPr>
          <w:ilvl w:val="0"/>
          <w:numId w:val="1"/>
        </w:numPr>
        <w:tabs>
          <w:tab w:val="left" w:pos="284"/>
        </w:tabs>
        <w:spacing w:before="0" w:line="360" w:lineRule="auto"/>
        <w:ind w:left="284" w:right="422" w:hanging="284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Operator zobowiązuje się</w:t>
      </w:r>
      <w:r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>
        <w:rPr>
          <w:rFonts w:asciiTheme="minorHAnsi" w:hAnsiTheme="minorHAnsi" w:cstheme="minorHAnsi"/>
          <w:sz w:val="24"/>
          <w:szCs w:val="24"/>
        </w:rPr>
        <w:t>do:</w:t>
      </w:r>
    </w:p>
    <w:p w14:paraId="0FEF254E">
      <w:pPr>
        <w:pStyle w:val="9"/>
        <w:numPr>
          <w:ilvl w:val="1"/>
          <w:numId w:val="1"/>
        </w:numPr>
        <w:tabs>
          <w:tab w:val="left" w:pos="567"/>
        </w:tabs>
        <w:spacing w:before="0" w:line="360" w:lineRule="auto"/>
        <w:ind w:left="567" w:right="108" w:hanging="283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zapewnienia sprawnych technicznie, przystosowanych do przewozu osób środków transportowych niezbędnych do prawidłowej realizacji usługi określonej niniejszą umową, pojazd przystosowany do przewozu osób z min. 20 miejscami siedzącymi, w tym jednym dla kierowcy (siedzenia winny być wyposażone w bezwładnościowe pasy bezpieczeństwa), spełniających wymagania określone przepisami prawa w zakresie dotyczącym wykonywania</w:t>
      </w:r>
      <w:r>
        <w:rPr>
          <w:rFonts w:asciiTheme="minorHAnsi" w:hAnsiTheme="minorHAnsi" w:cstheme="minorHAnsi"/>
          <w:spacing w:val="43"/>
          <w:sz w:val="24"/>
          <w:szCs w:val="24"/>
        </w:rPr>
        <w:t xml:space="preserve"> </w:t>
      </w:r>
      <w:r>
        <w:rPr>
          <w:rFonts w:asciiTheme="minorHAnsi" w:hAnsiTheme="minorHAnsi" w:cstheme="minorHAnsi"/>
          <w:sz w:val="24"/>
          <w:szCs w:val="24"/>
        </w:rPr>
        <w:t>autobusowej</w:t>
      </w:r>
      <w:r>
        <w:rPr>
          <w:rFonts w:asciiTheme="minorHAnsi" w:hAnsiTheme="minorHAnsi" w:cstheme="minorHAnsi"/>
          <w:spacing w:val="46"/>
          <w:sz w:val="24"/>
          <w:szCs w:val="24"/>
        </w:rPr>
        <w:t xml:space="preserve"> </w:t>
      </w:r>
      <w:r>
        <w:rPr>
          <w:rFonts w:asciiTheme="minorHAnsi" w:hAnsiTheme="minorHAnsi" w:cstheme="minorHAnsi"/>
          <w:sz w:val="24"/>
          <w:szCs w:val="24"/>
        </w:rPr>
        <w:t>usługi</w:t>
      </w:r>
      <w:r>
        <w:rPr>
          <w:rFonts w:asciiTheme="minorHAnsi" w:hAnsiTheme="minorHAnsi" w:cstheme="minorHAnsi"/>
          <w:spacing w:val="46"/>
          <w:sz w:val="24"/>
          <w:szCs w:val="24"/>
        </w:rPr>
        <w:t xml:space="preserve"> </w:t>
      </w:r>
      <w:r>
        <w:rPr>
          <w:rFonts w:asciiTheme="minorHAnsi" w:hAnsiTheme="minorHAnsi" w:cstheme="minorHAnsi"/>
          <w:sz w:val="24"/>
          <w:szCs w:val="24"/>
        </w:rPr>
        <w:t>przewozowej</w:t>
      </w:r>
      <w:r>
        <w:rPr>
          <w:rFonts w:asciiTheme="minorHAnsi" w:hAnsiTheme="minorHAnsi" w:cstheme="minorHAnsi"/>
          <w:spacing w:val="46"/>
          <w:sz w:val="24"/>
          <w:szCs w:val="24"/>
        </w:rPr>
        <w:t xml:space="preserve"> </w:t>
      </w:r>
      <w:r>
        <w:rPr>
          <w:rFonts w:asciiTheme="minorHAnsi" w:hAnsiTheme="minorHAnsi" w:cstheme="minorHAnsi"/>
          <w:sz w:val="24"/>
          <w:szCs w:val="24"/>
        </w:rPr>
        <w:t>w</w:t>
      </w:r>
      <w:r>
        <w:rPr>
          <w:rFonts w:asciiTheme="minorHAnsi" w:hAnsiTheme="minorHAnsi" w:cstheme="minorHAnsi"/>
          <w:spacing w:val="46"/>
          <w:sz w:val="24"/>
          <w:szCs w:val="24"/>
        </w:rPr>
        <w:t xml:space="preserve"> </w:t>
      </w:r>
      <w:r>
        <w:rPr>
          <w:rFonts w:asciiTheme="minorHAnsi" w:hAnsiTheme="minorHAnsi" w:cstheme="minorHAnsi"/>
          <w:sz w:val="24"/>
          <w:szCs w:val="24"/>
        </w:rPr>
        <w:t>zbiorowej</w:t>
      </w:r>
      <w:r>
        <w:rPr>
          <w:rFonts w:asciiTheme="minorHAnsi" w:hAnsiTheme="minorHAnsi" w:cstheme="minorHAnsi"/>
          <w:spacing w:val="46"/>
          <w:sz w:val="24"/>
          <w:szCs w:val="24"/>
        </w:rPr>
        <w:t xml:space="preserve"> </w:t>
      </w:r>
      <w:r>
        <w:rPr>
          <w:rFonts w:asciiTheme="minorHAnsi" w:hAnsiTheme="minorHAnsi" w:cstheme="minorHAnsi"/>
          <w:sz w:val="24"/>
          <w:szCs w:val="24"/>
        </w:rPr>
        <w:t>komunikacji</w:t>
      </w:r>
      <w:r>
        <w:rPr>
          <w:rFonts w:asciiTheme="minorHAnsi" w:hAnsiTheme="minorHAnsi" w:cstheme="minorHAnsi"/>
          <w:spacing w:val="46"/>
          <w:sz w:val="24"/>
          <w:szCs w:val="24"/>
        </w:rPr>
        <w:t xml:space="preserve"> </w:t>
      </w:r>
      <w:r>
        <w:rPr>
          <w:rFonts w:asciiTheme="minorHAnsi" w:hAnsiTheme="minorHAnsi" w:cstheme="minorHAnsi"/>
          <w:sz w:val="24"/>
          <w:szCs w:val="24"/>
        </w:rPr>
        <w:t>lokalnej;</w:t>
      </w:r>
    </w:p>
    <w:p w14:paraId="6476DF4D">
      <w:pPr>
        <w:pStyle w:val="9"/>
        <w:numPr>
          <w:ilvl w:val="1"/>
          <w:numId w:val="1"/>
        </w:numPr>
        <w:tabs>
          <w:tab w:val="left" w:pos="567"/>
        </w:tabs>
        <w:spacing w:before="0" w:line="360" w:lineRule="auto"/>
        <w:ind w:left="567" w:right="108" w:hanging="283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w przypadku zmiany przepisów określających wymagania dotyczące autobusów dostosowane zostaną niezwłocznie świadczenia usługi przy zachowaniu: parametrów techniczno-użytkowych, jakościowych i ilościowych określających sposób świadczenia usługi oraz obowiązujących norm i przepisów oraz do zapewnienia, że wykorzystywany przez Operatora sprzęt i pojazdy spełniają wszelkie wymogi prawa w zakresie bezpieczeństwa i ochrony</w:t>
      </w:r>
      <w:r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>
        <w:rPr>
          <w:rFonts w:asciiTheme="minorHAnsi" w:hAnsiTheme="minorHAnsi" w:cstheme="minorHAnsi"/>
          <w:sz w:val="24"/>
          <w:szCs w:val="24"/>
        </w:rPr>
        <w:t>środowiska;</w:t>
      </w:r>
    </w:p>
    <w:p w14:paraId="3F617D7F">
      <w:pPr>
        <w:pStyle w:val="9"/>
        <w:numPr>
          <w:ilvl w:val="1"/>
          <w:numId w:val="1"/>
        </w:numPr>
        <w:tabs>
          <w:tab w:val="left" w:pos="567"/>
        </w:tabs>
        <w:spacing w:before="0" w:line="360" w:lineRule="auto"/>
        <w:ind w:left="567" w:right="108" w:hanging="283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posiadania przez cały okres obowiązywania umowy ubezpieczenia wykorzystywanego przez Operatora pojazdów zgodnie z wymogami wynikającymi z przepisów obowiązującego prawa, a także ubezpieczenia odpowiedzialności cywilnej. Wykonawca ponosi odpowiedzialność za szkody na osobie lub mieniu oraz następstwa nieszczęśliwych wypadków dotyczących transportowanych osób, a powstałych w związku z usługami określonymi w §1 niniejszej umowy, w tym w szczególności związanych z ruchem pojazdów mechanicznych. Wykonawca oświadcza, że prowadzona przez niego działalność gospodarcza w postaci przewozu osób jest objęta ubezpieczeniem OC w zakresie podstawowym, i posiada polisę  ubezpieczeniową nr:</w:t>
      </w:r>
    </w:p>
    <w:p w14:paraId="1A184C1A">
      <w:pPr>
        <w:pStyle w:val="9"/>
        <w:tabs>
          <w:tab w:val="left" w:pos="567"/>
        </w:tabs>
        <w:spacing w:before="0" w:line="360" w:lineRule="auto"/>
        <w:ind w:left="284" w:right="108" w:firstLine="0"/>
        <w:rPr>
          <w:rFonts w:hint="default" w:asciiTheme="minorHAnsi" w:hAnsiTheme="minorHAnsi" w:cstheme="minorHAnsi"/>
          <w:sz w:val="24"/>
          <w:szCs w:val="24"/>
          <w:lang w:val="pl-PL"/>
        </w:rPr>
      </w:pP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>-</w:t>
      </w:r>
      <w:r>
        <w:rPr>
          <w:rFonts w:hint="default" w:asciiTheme="minorHAnsi" w:hAnsiTheme="minorHAnsi" w:cstheme="minorHAnsi"/>
          <w:sz w:val="24"/>
          <w:szCs w:val="24"/>
          <w:lang w:val="pl-PL"/>
        </w:rPr>
        <w:t xml:space="preserve"> ...............................................................................................................................................</w:t>
      </w:r>
    </w:p>
    <w:p w14:paraId="312C488E">
      <w:pPr>
        <w:pStyle w:val="9"/>
        <w:tabs>
          <w:tab w:val="left" w:pos="567"/>
        </w:tabs>
        <w:spacing w:before="0" w:line="360" w:lineRule="auto"/>
        <w:ind w:left="284" w:right="108" w:firstLine="0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ab/>
      </w:r>
    </w:p>
    <w:p w14:paraId="0AE83187">
      <w:pPr>
        <w:pStyle w:val="9"/>
        <w:tabs>
          <w:tab w:val="left" w:pos="567"/>
        </w:tabs>
        <w:spacing w:before="0" w:line="360" w:lineRule="auto"/>
        <w:ind w:left="600" w:right="108" w:hanging="600" w:hangingChars="250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 xml:space="preserve">oraz posiada ubezpieczenie NW na kwotę minimum 5.000 zł, oraz że utrzyma ważne ubezpieczenie w całym okresie trwania  umowy. W przypadku wygaśnięcia polisy w trakcie obowiązywania umowy – Wykonawca zobowiązuje się do jej odnowienia z zachowaniem ciągłości ubezpieczenia; </w:t>
      </w:r>
    </w:p>
    <w:p w14:paraId="08C0B587">
      <w:pPr>
        <w:pStyle w:val="9"/>
        <w:numPr>
          <w:ilvl w:val="1"/>
          <w:numId w:val="1"/>
        </w:numPr>
        <w:tabs>
          <w:tab w:val="left" w:pos="567"/>
        </w:tabs>
        <w:spacing w:before="0" w:line="360" w:lineRule="auto"/>
        <w:ind w:left="567" w:right="108" w:hanging="283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posiadania w okresie wykonywania niniejszej umowy wszelkich wymaganych prawem licencji, zezwoleń i zaświadczeń niezbędnych do prawidłowej realizacji usługi określonej niniejszą</w:t>
      </w:r>
      <w:r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>
        <w:rPr>
          <w:rFonts w:asciiTheme="minorHAnsi" w:hAnsiTheme="minorHAnsi" w:cstheme="minorHAnsi"/>
          <w:sz w:val="24"/>
          <w:szCs w:val="24"/>
        </w:rPr>
        <w:t>umową;</w:t>
      </w:r>
    </w:p>
    <w:p w14:paraId="6400B955">
      <w:pPr>
        <w:pStyle w:val="9"/>
        <w:numPr>
          <w:ilvl w:val="1"/>
          <w:numId w:val="1"/>
        </w:numPr>
        <w:tabs>
          <w:tab w:val="left" w:pos="567"/>
        </w:tabs>
        <w:spacing w:before="0" w:line="360" w:lineRule="auto"/>
        <w:ind w:left="567" w:right="108" w:hanging="283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należytej dbałości o zewnętrzny i wewnętrzny wygląd autobusów oraz zapewnienia ich czystości i właściwego stanu</w:t>
      </w:r>
      <w:r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>
        <w:rPr>
          <w:rFonts w:asciiTheme="minorHAnsi" w:hAnsiTheme="minorHAnsi" w:cstheme="minorHAnsi"/>
          <w:sz w:val="24"/>
          <w:szCs w:val="24"/>
        </w:rPr>
        <w:t>technicznego;</w:t>
      </w:r>
    </w:p>
    <w:p w14:paraId="0AD2E20D">
      <w:pPr>
        <w:pStyle w:val="9"/>
        <w:numPr>
          <w:ilvl w:val="1"/>
          <w:numId w:val="1"/>
        </w:numPr>
        <w:tabs>
          <w:tab w:val="left" w:pos="567"/>
        </w:tabs>
        <w:spacing w:before="0" w:line="360" w:lineRule="auto"/>
        <w:ind w:left="567" w:right="108" w:hanging="283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umieszczenia w widocznym miejscu w</w:t>
      </w:r>
      <w:r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>
        <w:rPr>
          <w:rFonts w:asciiTheme="minorHAnsi" w:hAnsiTheme="minorHAnsi" w:cstheme="minorHAnsi"/>
          <w:sz w:val="24"/>
          <w:szCs w:val="24"/>
        </w:rPr>
        <w:t>autobusach:</w:t>
      </w:r>
    </w:p>
    <w:p w14:paraId="5736BCFA">
      <w:pPr>
        <w:pStyle w:val="9"/>
        <w:numPr>
          <w:ilvl w:val="2"/>
          <w:numId w:val="1"/>
        </w:numPr>
        <w:tabs>
          <w:tab w:val="left" w:pos="851"/>
        </w:tabs>
        <w:spacing w:before="100" w:beforeAutospacing="1" w:after="100" w:afterAutospacing="1" w:line="360" w:lineRule="auto"/>
        <w:ind w:left="851" w:right="111" w:hanging="284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wyciągu z obowiązującego cennika opłat, zawierającego także ceny biletów ulgowych ustalonych na podstawie przepisów</w:t>
      </w:r>
      <w:r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>
        <w:rPr>
          <w:rFonts w:asciiTheme="minorHAnsi" w:hAnsiTheme="minorHAnsi" w:cstheme="minorHAnsi"/>
          <w:sz w:val="24"/>
          <w:szCs w:val="24"/>
        </w:rPr>
        <w:t>ustawowych,</w:t>
      </w:r>
    </w:p>
    <w:p w14:paraId="69FC9BC2">
      <w:pPr>
        <w:pStyle w:val="9"/>
        <w:numPr>
          <w:ilvl w:val="2"/>
          <w:numId w:val="1"/>
        </w:numPr>
        <w:tabs>
          <w:tab w:val="left" w:pos="851"/>
        </w:tabs>
        <w:spacing w:before="100" w:beforeAutospacing="1" w:after="100" w:afterAutospacing="1" w:line="360" w:lineRule="auto"/>
        <w:ind w:left="851" w:right="111" w:hanging="284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wyciągu</w:t>
      </w: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>przepisów</w:t>
      </w: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 xml:space="preserve">porządkowych </w:t>
      </w: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>oraz</w:t>
      </w: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>wyciągu</w:t>
      </w: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 xml:space="preserve">opracowanego </w:t>
      </w:r>
      <w:r>
        <w:rPr>
          <w:rFonts w:asciiTheme="minorHAnsi" w:hAnsiTheme="minorHAnsi" w:cstheme="minorHAnsi"/>
          <w:spacing w:val="-4"/>
          <w:sz w:val="24"/>
          <w:szCs w:val="24"/>
        </w:rPr>
        <w:t xml:space="preserve">przez </w:t>
      </w:r>
      <w:r>
        <w:rPr>
          <w:rFonts w:asciiTheme="minorHAnsi" w:hAnsiTheme="minorHAnsi" w:cstheme="minorHAnsi"/>
          <w:sz w:val="24"/>
          <w:szCs w:val="24"/>
        </w:rPr>
        <w:t>przewoźnika regulaminu przewozu</w:t>
      </w:r>
      <w:r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>
        <w:rPr>
          <w:rFonts w:asciiTheme="minorHAnsi" w:hAnsiTheme="minorHAnsi" w:cstheme="minorHAnsi"/>
          <w:sz w:val="24"/>
          <w:szCs w:val="24"/>
        </w:rPr>
        <w:t>osób,</w:t>
      </w:r>
    </w:p>
    <w:p w14:paraId="1AF0529F">
      <w:pPr>
        <w:pStyle w:val="9"/>
        <w:numPr>
          <w:ilvl w:val="2"/>
          <w:numId w:val="1"/>
        </w:numPr>
        <w:tabs>
          <w:tab w:val="left" w:pos="851"/>
        </w:tabs>
        <w:spacing w:before="100" w:beforeAutospacing="1" w:after="100" w:afterAutospacing="1" w:line="360" w:lineRule="auto"/>
        <w:ind w:left="851" w:right="111" w:hanging="284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niezbędnych komunikatów dla</w:t>
      </w:r>
      <w:r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>
        <w:rPr>
          <w:rFonts w:asciiTheme="minorHAnsi" w:hAnsiTheme="minorHAnsi" w:cstheme="minorHAnsi"/>
          <w:sz w:val="24"/>
          <w:szCs w:val="24"/>
        </w:rPr>
        <w:t>pasażerów,</w:t>
      </w:r>
    </w:p>
    <w:p w14:paraId="109E5BE1">
      <w:pPr>
        <w:pStyle w:val="9"/>
        <w:numPr>
          <w:ilvl w:val="2"/>
          <w:numId w:val="1"/>
        </w:numPr>
        <w:tabs>
          <w:tab w:val="left" w:pos="851"/>
        </w:tabs>
        <w:spacing w:before="100" w:beforeAutospacing="1" w:after="100" w:afterAutospacing="1" w:line="360" w:lineRule="auto"/>
        <w:ind w:left="851" w:right="111" w:hanging="284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informacji o zakazie palenia wyrobów tytoniowych zgodnie z art. 5 ust. 1a ustawy           z dnia </w:t>
      </w:r>
      <w:r>
        <w:rPr>
          <w:rFonts w:asciiTheme="minorHAnsi" w:hAnsiTheme="minorHAnsi" w:cstheme="minorHAnsi"/>
          <w:spacing w:val="-4"/>
          <w:sz w:val="24"/>
          <w:szCs w:val="24"/>
        </w:rPr>
        <w:t xml:space="preserve">09.11.1995 r. </w:t>
      </w:r>
      <w:bookmarkStart w:id="2" w:name="_Hlk92958508"/>
      <w:r>
        <w:rPr>
          <w:rFonts w:asciiTheme="minorHAnsi" w:hAnsiTheme="minorHAnsi" w:cstheme="minorHAnsi"/>
          <w:sz w:val="24"/>
          <w:szCs w:val="24"/>
        </w:rPr>
        <w:t xml:space="preserve">o ochronie zdrowia przed następstwami używania tytoniu                               i wyrobów tytoniowych </w:t>
      </w:r>
      <w:bookmarkEnd w:id="2"/>
      <w:r>
        <w:rPr>
          <w:rFonts w:asciiTheme="minorHAnsi" w:hAnsiTheme="minorHAnsi" w:cstheme="minorHAnsi"/>
          <w:sz w:val="24"/>
          <w:szCs w:val="24"/>
        </w:rPr>
        <w:t xml:space="preserve">(t.j. Dz. U. z 2023 </w:t>
      </w:r>
      <w:r>
        <w:rPr>
          <w:rFonts w:asciiTheme="minorHAnsi" w:hAnsiTheme="minorHAnsi" w:cstheme="minorHAnsi"/>
          <w:spacing w:val="-5"/>
          <w:sz w:val="24"/>
          <w:szCs w:val="24"/>
        </w:rPr>
        <w:t xml:space="preserve">r., </w:t>
      </w:r>
      <w:r>
        <w:rPr>
          <w:rFonts w:asciiTheme="minorHAnsi" w:hAnsiTheme="minorHAnsi" w:cstheme="minorHAnsi"/>
          <w:sz w:val="24"/>
          <w:szCs w:val="24"/>
        </w:rPr>
        <w:t>poz. 700 z późn.</w:t>
      </w:r>
      <w:r>
        <w:rPr>
          <w:rFonts w:asciiTheme="minorHAnsi" w:hAnsiTheme="minorHAnsi" w:cstheme="minorHAnsi"/>
          <w:spacing w:val="-17"/>
          <w:sz w:val="24"/>
          <w:szCs w:val="24"/>
        </w:rPr>
        <w:t xml:space="preserve"> </w:t>
      </w:r>
      <w:r>
        <w:rPr>
          <w:rFonts w:asciiTheme="minorHAnsi" w:hAnsiTheme="minorHAnsi" w:cstheme="minorHAnsi"/>
          <w:sz w:val="24"/>
          <w:szCs w:val="24"/>
        </w:rPr>
        <w:t>zm.);</w:t>
      </w:r>
    </w:p>
    <w:p w14:paraId="26379078">
      <w:pPr>
        <w:pStyle w:val="9"/>
        <w:numPr>
          <w:ilvl w:val="1"/>
          <w:numId w:val="1"/>
        </w:numPr>
        <w:tabs>
          <w:tab w:val="left" w:pos="567"/>
        </w:tabs>
        <w:spacing w:before="0" w:line="360" w:lineRule="auto"/>
        <w:ind w:left="567" w:right="108" w:hanging="283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zapewnienia punktualności kursowania</w:t>
      </w:r>
      <w:r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>
        <w:rPr>
          <w:rFonts w:asciiTheme="minorHAnsi" w:hAnsiTheme="minorHAnsi" w:cstheme="minorHAnsi"/>
          <w:spacing w:val="-3"/>
          <w:sz w:val="24"/>
          <w:szCs w:val="24"/>
        </w:rPr>
        <w:t>pojazdów;</w:t>
      </w:r>
    </w:p>
    <w:p w14:paraId="3CAE1B3E">
      <w:pPr>
        <w:pStyle w:val="9"/>
        <w:numPr>
          <w:ilvl w:val="1"/>
          <w:numId w:val="1"/>
        </w:numPr>
        <w:tabs>
          <w:tab w:val="left" w:pos="567"/>
        </w:tabs>
        <w:spacing w:before="0" w:line="360" w:lineRule="auto"/>
        <w:ind w:left="567" w:right="108" w:hanging="283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zapewnienia odpowiedniej jakości obsługi pasażerów, w tym w szczególności pod względem:</w:t>
      </w:r>
    </w:p>
    <w:p w14:paraId="7E57F695">
      <w:pPr>
        <w:pStyle w:val="9"/>
        <w:numPr>
          <w:ilvl w:val="0"/>
          <w:numId w:val="2"/>
        </w:numPr>
        <w:tabs>
          <w:tab w:val="left" w:pos="822"/>
        </w:tabs>
        <w:spacing w:before="0" w:line="360" w:lineRule="auto"/>
        <w:ind w:hanging="349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bezpieczeństwa podróżnych i ich</w:t>
      </w:r>
      <w:r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>
        <w:rPr>
          <w:rFonts w:asciiTheme="minorHAnsi" w:hAnsiTheme="minorHAnsi" w:cstheme="minorHAnsi"/>
          <w:sz w:val="24"/>
          <w:szCs w:val="24"/>
        </w:rPr>
        <w:t>mienia,</w:t>
      </w:r>
    </w:p>
    <w:p w14:paraId="0F9BA2E6">
      <w:pPr>
        <w:pStyle w:val="9"/>
        <w:numPr>
          <w:ilvl w:val="0"/>
          <w:numId w:val="2"/>
        </w:numPr>
        <w:tabs>
          <w:tab w:val="left" w:pos="822"/>
        </w:tabs>
        <w:spacing w:before="100" w:beforeAutospacing="1" w:after="100" w:afterAutospacing="1" w:line="360" w:lineRule="auto"/>
        <w:ind w:hanging="349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przestrzegania obowiązujących rozkładów</w:t>
      </w:r>
      <w:r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>
        <w:rPr>
          <w:rFonts w:asciiTheme="minorHAnsi" w:hAnsiTheme="minorHAnsi" w:cstheme="minorHAnsi"/>
          <w:spacing w:val="-4"/>
          <w:sz w:val="24"/>
          <w:szCs w:val="24"/>
        </w:rPr>
        <w:t>jazdy,</w:t>
      </w:r>
    </w:p>
    <w:p w14:paraId="60C51344">
      <w:pPr>
        <w:pStyle w:val="9"/>
        <w:numPr>
          <w:ilvl w:val="0"/>
          <w:numId w:val="2"/>
        </w:numPr>
        <w:tabs>
          <w:tab w:val="left" w:pos="822"/>
        </w:tabs>
        <w:spacing w:before="100" w:beforeAutospacing="1" w:after="100" w:afterAutospacing="1" w:line="360" w:lineRule="auto"/>
        <w:ind w:left="833" w:right="114" w:hanging="360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warunków podróży (oświetlenie przedziału pasażerskiego, ogrzewanie, odpowiednie parametry i wyposażenie</w:t>
      </w:r>
      <w:r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>
        <w:rPr>
          <w:rFonts w:asciiTheme="minorHAnsi" w:hAnsiTheme="minorHAnsi" w:cstheme="minorHAnsi"/>
          <w:sz w:val="24"/>
          <w:szCs w:val="24"/>
        </w:rPr>
        <w:t>pojazdów),</w:t>
      </w:r>
    </w:p>
    <w:p w14:paraId="0380FD03">
      <w:pPr>
        <w:pStyle w:val="9"/>
        <w:numPr>
          <w:ilvl w:val="0"/>
          <w:numId w:val="2"/>
        </w:numPr>
        <w:tabs>
          <w:tab w:val="left" w:pos="822"/>
        </w:tabs>
        <w:spacing w:before="100" w:beforeAutospacing="1" w:after="100" w:afterAutospacing="1" w:line="360" w:lineRule="auto"/>
        <w:ind w:left="833" w:right="110" w:hanging="360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właściwego i czytelnego  oznakowania  pojazdów poprzez umieszczanie na pojazdach,  widocznych z zewnątrz tablic informacyjnych,</w:t>
      </w:r>
    </w:p>
    <w:p w14:paraId="0676FF63">
      <w:pPr>
        <w:pStyle w:val="9"/>
        <w:numPr>
          <w:ilvl w:val="0"/>
          <w:numId w:val="2"/>
        </w:numPr>
        <w:tabs>
          <w:tab w:val="left" w:pos="822"/>
        </w:tabs>
        <w:spacing w:before="100" w:beforeAutospacing="1" w:after="100" w:afterAutospacing="1" w:line="360" w:lineRule="auto"/>
        <w:ind w:hanging="349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kultury obsługi</w:t>
      </w:r>
      <w:r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>
        <w:rPr>
          <w:rFonts w:asciiTheme="minorHAnsi" w:hAnsiTheme="minorHAnsi" w:cstheme="minorHAnsi"/>
          <w:sz w:val="24"/>
          <w:szCs w:val="24"/>
        </w:rPr>
        <w:t>podróżnych,</w:t>
      </w:r>
    </w:p>
    <w:p w14:paraId="1E301B49">
      <w:pPr>
        <w:pStyle w:val="9"/>
        <w:numPr>
          <w:ilvl w:val="0"/>
          <w:numId w:val="2"/>
        </w:numPr>
        <w:tabs>
          <w:tab w:val="left" w:pos="822"/>
        </w:tabs>
        <w:spacing w:before="100" w:beforeAutospacing="1" w:after="100" w:afterAutospacing="1" w:line="360" w:lineRule="auto"/>
        <w:ind w:left="833" w:right="118" w:hanging="360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udzielanie przez kierowcę pomocy osobom niepełnosprawnym oraz osobom                                                   o ograniczonej zdolności ruchowej przy wsiadaniu i wysiadaniu z</w:t>
      </w:r>
      <w:r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>
        <w:rPr>
          <w:rFonts w:asciiTheme="minorHAnsi" w:hAnsiTheme="minorHAnsi" w:cstheme="minorHAnsi"/>
          <w:sz w:val="24"/>
          <w:szCs w:val="24"/>
        </w:rPr>
        <w:t>pojazdu,</w:t>
      </w:r>
    </w:p>
    <w:p w14:paraId="36937A57">
      <w:pPr>
        <w:pStyle w:val="9"/>
        <w:numPr>
          <w:ilvl w:val="0"/>
          <w:numId w:val="2"/>
        </w:numPr>
        <w:tabs>
          <w:tab w:val="left" w:pos="822"/>
        </w:tabs>
        <w:spacing w:before="0" w:line="360" w:lineRule="auto"/>
        <w:ind w:left="822" w:hanging="349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posiadania kasy fiskalnej umożliwiającej sprzedaż</w:t>
      </w:r>
      <w:r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>
        <w:rPr>
          <w:rFonts w:asciiTheme="minorHAnsi" w:hAnsiTheme="minorHAnsi" w:cstheme="minorHAnsi"/>
          <w:sz w:val="24"/>
          <w:szCs w:val="24"/>
        </w:rPr>
        <w:t>biletów</w:t>
      </w:r>
      <w:r>
        <w:rPr>
          <w:rFonts w:hint="default" w:asciiTheme="minorHAnsi" w:hAnsiTheme="minorHAnsi" w:cstheme="minorHAnsi"/>
          <w:sz w:val="24"/>
          <w:szCs w:val="24"/>
          <w:lang w:val="pl-PL"/>
        </w:rPr>
        <w:t>;</w:t>
      </w:r>
    </w:p>
    <w:p w14:paraId="52C925A2">
      <w:pPr>
        <w:pStyle w:val="9"/>
        <w:numPr>
          <w:ilvl w:val="1"/>
          <w:numId w:val="1"/>
        </w:numPr>
        <w:tabs>
          <w:tab w:val="left" w:pos="709"/>
        </w:tabs>
        <w:spacing w:before="0" w:line="360" w:lineRule="auto"/>
        <w:ind w:left="709" w:right="108" w:hanging="425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zapewnienia pasażerom pełnej informacji poprzez umieszczenie na przystankach aktualnych rozkładów jazdy, zawierających pełną informację o przebiegu trasy linii                          i godziny odjazdów;</w:t>
      </w:r>
    </w:p>
    <w:p w14:paraId="09B5A361">
      <w:pPr>
        <w:pStyle w:val="9"/>
        <w:numPr>
          <w:ilvl w:val="1"/>
          <w:numId w:val="1"/>
        </w:numPr>
        <w:tabs>
          <w:tab w:val="left" w:pos="709"/>
        </w:tabs>
        <w:spacing w:before="0" w:line="360" w:lineRule="auto"/>
        <w:ind w:left="709" w:right="108" w:hanging="425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dbania na bieżąco o należyty stan techniczny, estetyczny i czytelność rozkładów jazdy,                         a także uzupełniania na bieżąco, na własny koszt brakujących rozkładów jazdy                       i wymieniania nieczytelnych lub nieestetycznych;</w:t>
      </w:r>
    </w:p>
    <w:p w14:paraId="18496674">
      <w:pPr>
        <w:pStyle w:val="9"/>
        <w:numPr>
          <w:ilvl w:val="1"/>
          <w:numId w:val="1"/>
        </w:numPr>
        <w:tabs>
          <w:tab w:val="left" w:pos="709"/>
        </w:tabs>
        <w:spacing w:before="0" w:line="360" w:lineRule="auto"/>
        <w:ind w:left="709" w:right="108" w:hanging="425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zapewnienia personelu do realizacji usługi o kwalifikacjach określonych                                                w obowiązujących przepisach prawa;</w:t>
      </w:r>
    </w:p>
    <w:p w14:paraId="52EC3C0B">
      <w:pPr>
        <w:pStyle w:val="9"/>
        <w:numPr>
          <w:ilvl w:val="1"/>
          <w:numId w:val="1"/>
        </w:numPr>
        <w:tabs>
          <w:tab w:val="left" w:pos="709"/>
        </w:tabs>
        <w:spacing w:before="0" w:line="360" w:lineRule="auto"/>
        <w:ind w:left="709" w:right="108" w:hanging="425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niezwłocznego powiadamiania Organizatora o wszelkich zaistniałych lub przewidywanych przeszkodach w świadczeniu usługi, w szczególności o wszelkich zdarzeniach drogowych  z udziałem autobusów Operatora;</w:t>
      </w:r>
    </w:p>
    <w:p w14:paraId="4BC84BE9">
      <w:pPr>
        <w:pStyle w:val="9"/>
        <w:numPr>
          <w:ilvl w:val="1"/>
          <w:numId w:val="1"/>
        </w:numPr>
        <w:tabs>
          <w:tab w:val="left" w:pos="709"/>
        </w:tabs>
        <w:spacing w:before="0" w:line="360" w:lineRule="auto"/>
        <w:ind w:left="709" w:right="108" w:hanging="425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b/>
          <w:bCs/>
          <w:sz w:val="24"/>
          <w:szCs w:val="24"/>
        </w:rPr>
        <w:t xml:space="preserve">w przypadku awarii któregokolwiek pojazdu wykorzystywanego w realizacji niniejszego zamówienia, </w:t>
      </w:r>
      <w:bookmarkStart w:id="3" w:name="_Hlk97283265"/>
      <w:r>
        <w:rPr>
          <w:rFonts w:asciiTheme="minorHAnsi" w:hAnsiTheme="minorHAnsi" w:cstheme="minorHAnsi"/>
          <w:b/>
          <w:bCs/>
          <w:sz w:val="24"/>
          <w:szCs w:val="24"/>
          <w:u w:val="single"/>
        </w:rPr>
        <w:t>podstawienia pojazdu zastępczego</w:t>
      </w:r>
      <w:bookmarkEnd w:id="3"/>
      <w:r>
        <w:rPr>
          <w:rFonts w:asciiTheme="minorHAnsi" w:hAnsiTheme="minorHAnsi" w:cstheme="minorHAnsi"/>
          <w:b/>
          <w:bCs/>
          <w:sz w:val="24"/>
          <w:szCs w:val="24"/>
        </w:rPr>
        <w:t>, w zadeklarowanym w ofercie czasie, tj. ……………………………………………………………………….. od czasu zgłoszenia.</w:t>
      </w:r>
    </w:p>
    <w:p w14:paraId="5E150248">
      <w:pPr>
        <w:tabs>
          <w:tab w:val="left" w:pos="709"/>
        </w:tabs>
        <w:spacing w:line="360" w:lineRule="auto"/>
        <w:ind w:left="284" w:right="108"/>
        <w:rPr>
          <w:rFonts w:asciiTheme="minorHAnsi" w:hAnsiTheme="minorHAnsi" w:cstheme="minorHAnsi"/>
          <w:sz w:val="24"/>
          <w:szCs w:val="24"/>
        </w:rPr>
      </w:pPr>
    </w:p>
    <w:p w14:paraId="2C332780">
      <w:pPr>
        <w:tabs>
          <w:tab w:val="left" w:pos="709"/>
        </w:tabs>
        <w:spacing w:line="360" w:lineRule="auto"/>
        <w:ind w:left="284" w:right="108"/>
        <w:rPr>
          <w:rFonts w:asciiTheme="minorHAnsi" w:hAnsiTheme="minorHAnsi" w:cstheme="minorHAnsi"/>
          <w:sz w:val="24"/>
          <w:szCs w:val="24"/>
        </w:rPr>
      </w:pPr>
    </w:p>
    <w:p w14:paraId="67057FC9">
      <w:pPr>
        <w:pStyle w:val="9"/>
        <w:tabs>
          <w:tab w:val="left" w:pos="822"/>
        </w:tabs>
        <w:spacing w:before="0" w:line="360" w:lineRule="auto"/>
        <w:ind w:left="822"/>
        <w:jc w:val="center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§ 3</w:t>
      </w:r>
    </w:p>
    <w:p w14:paraId="590436FB">
      <w:pPr>
        <w:pStyle w:val="9"/>
        <w:tabs>
          <w:tab w:val="left" w:pos="284"/>
        </w:tabs>
        <w:spacing w:before="0" w:line="360" w:lineRule="auto"/>
        <w:ind w:left="284" w:hanging="284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1.</w:t>
      </w: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>Wpływy z biletów i kar (opłat dodatkowych) nałożonych w trakcie kontroli podróżnych stanowią przychód Operatora. Ceny biletów ustala Operator.</w:t>
      </w:r>
    </w:p>
    <w:p w14:paraId="11BE29C8">
      <w:pPr>
        <w:pStyle w:val="9"/>
        <w:tabs>
          <w:tab w:val="left" w:pos="284"/>
        </w:tabs>
        <w:spacing w:before="0" w:line="360" w:lineRule="auto"/>
        <w:ind w:left="284" w:hanging="284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2.</w:t>
      </w: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>Operator zobowiązuje się do stosowania ulg ustawowych.</w:t>
      </w:r>
    </w:p>
    <w:p w14:paraId="47559507">
      <w:pPr>
        <w:pStyle w:val="9"/>
        <w:tabs>
          <w:tab w:val="left" w:pos="284"/>
        </w:tabs>
        <w:spacing w:before="0" w:line="360" w:lineRule="auto"/>
        <w:ind w:left="284" w:hanging="284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3.</w:t>
      </w: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>Operator zobowiązuje się do zorganizowania na własny koszt druku biletów normalnych oraz ulgowych, uprawniających do przejazdu na linii określonej niniejszą umową.</w:t>
      </w:r>
    </w:p>
    <w:p w14:paraId="3943104D">
      <w:pPr>
        <w:pStyle w:val="9"/>
        <w:tabs>
          <w:tab w:val="left" w:pos="284"/>
        </w:tabs>
        <w:spacing w:before="0" w:line="360" w:lineRule="auto"/>
        <w:ind w:left="284" w:hanging="284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4.</w:t>
      </w: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>Operator zobowiązuje się do dystrybucji i zapewnienia ciągłej sprzedaży biletów uprawniających do przejazdu na linii określonej niniejszą umową bezpośrednio w pojazdach wykonujących przewozy.</w:t>
      </w:r>
    </w:p>
    <w:p w14:paraId="5CD51CE2">
      <w:pPr>
        <w:pStyle w:val="9"/>
        <w:tabs>
          <w:tab w:val="left" w:pos="284"/>
        </w:tabs>
        <w:spacing w:before="0" w:line="360" w:lineRule="auto"/>
        <w:ind w:left="284" w:hanging="284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5.</w:t>
      </w: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>Operator zobowiązuje się do prowadzenia kontroli biletów w pojazdach wykonujących przewozy określone niniejszą umową oraz windykacji należności wynikających z przejazdu bez ważnego dokumentu przewozu.</w:t>
      </w:r>
    </w:p>
    <w:p w14:paraId="76C1EBCE">
      <w:pPr>
        <w:pStyle w:val="9"/>
        <w:tabs>
          <w:tab w:val="left" w:pos="284"/>
        </w:tabs>
        <w:spacing w:before="0" w:line="360" w:lineRule="auto"/>
        <w:ind w:left="284" w:hanging="284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6.</w:t>
      </w: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>Operator zobowiązuje się do ewidencjonowania wysokość przychodów ze sprzedaży biletów.</w:t>
      </w:r>
    </w:p>
    <w:p w14:paraId="088038A6">
      <w:pPr>
        <w:pStyle w:val="9"/>
        <w:tabs>
          <w:tab w:val="left" w:pos="284"/>
        </w:tabs>
        <w:spacing w:before="0" w:line="360" w:lineRule="auto"/>
        <w:ind w:left="284" w:hanging="284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7. Operator, który poza świadczeniem usługi w zakresie publicznego transportu zbiorowego prowadzi inną działalność gospodarczą, jest obowiązany do prowadzenia oddzielnej rachunkowości dla usług świadczonych w zakresie publicznego transportu zbiorowego, związanych z wykonaniem przewozu o charakterze użyteczności publicznej na terenie Gminy Wolbrom. </w:t>
      </w:r>
    </w:p>
    <w:p w14:paraId="3A09E0B1">
      <w:pPr>
        <w:pStyle w:val="9"/>
        <w:tabs>
          <w:tab w:val="left" w:pos="822"/>
        </w:tabs>
        <w:spacing w:before="0" w:line="360" w:lineRule="auto"/>
        <w:ind w:left="816" w:hanging="357"/>
        <w:jc w:val="center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§ 4</w:t>
      </w:r>
    </w:p>
    <w:p w14:paraId="27FDBC78">
      <w:pPr>
        <w:pStyle w:val="9"/>
        <w:tabs>
          <w:tab w:val="left" w:pos="426"/>
        </w:tabs>
        <w:spacing w:before="0" w:line="360" w:lineRule="auto"/>
        <w:ind w:left="426" w:hanging="426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1.</w:t>
      </w: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>Operator ponosi wobec pasażerów i osób trzecich odpowiedzialność za szkody wiążące się ze świadczeniem usług. W szczególności Operator odpowiada za szkody:</w:t>
      </w:r>
    </w:p>
    <w:p w14:paraId="4C341D16">
      <w:pPr>
        <w:pStyle w:val="9"/>
        <w:tabs>
          <w:tab w:val="left" w:pos="822"/>
        </w:tabs>
        <w:spacing w:before="0" w:line="360" w:lineRule="auto"/>
        <w:ind w:left="816" w:hanging="357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1)</w:t>
      </w: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>komunikacyjne, wynikające</w:t>
      </w: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>z uczestniczenia pojazdów Operatora w ruchu drogowym,</w:t>
      </w:r>
    </w:p>
    <w:p w14:paraId="064CB880">
      <w:pPr>
        <w:pStyle w:val="9"/>
        <w:tabs>
          <w:tab w:val="left" w:pos="822"/>
        </w:tabs>
        <w:spacing w:before="0" w:line="360" w:lineRule="auto"/>
        <w:ind w:left="816" w:hanging="357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2)</w:t>
      </w: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>rzeczowe, w odniesieniu do rzeczy przewożonych przez pasażerów w pojeździe Operatora, jeżeli szkoda powstała z winy Operatora,</w:t>
      </w:r>
    </w:p>
    <w:p w14:paraId="484EC25E">
      <w:pPr>
        <w:pStyle w:val="9"/>
        <w:tabs>
          <w:tab w:val="left" w:pos="822"/>
        </w:tabs>
        <w:spacing w:before="0" w:line="360" w:lineRule="auto"/>
        <w:ind w:left="816" w:hanging="357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3)</w:t>
      </w: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>inne szkody zgodnie z przepisami kodeksu cywilnego i innych aktów normatywnych.</w:t>
      </w:r>
    </w:p>
    <w:p w14:paraId="10836F03">
      <w:pPr>
        <w:pStyle w:val="9"/>
        <w:tabs>
          <w:tab w:val="left" w:pos="426"/>
        </w:tabs>
        <w:spacing w:before="0" w:line="360" w:lineRule="auto"/>
        <w:ind w:left="426" w:hanging="426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2.</w:t>
      </w: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>Wszelkie skargi i reklamacje pasażerów dotyczące Operatora przekazywane są do Operatora, który zobowiązany jest do:</w:t>
      </w:r>
    </w:p>
    <w:p w14:paraId="1D4677EB">
      <w:pPr>
        <w:pStyle w:val="9"/>
        <w:tabs>
          <w:tab w:val="left" w:pos="822"/>
        </w:tabs>
        <w:spacing w:before="0" w:line="360" w:lineRule="auto"/>
        <w:ind w:left="816" w:hanging="357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I.</w:t>
      </w: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>rozpatrzenia skarg lub reklamacji w terminie 14 dni od dnia ich otrzymania,</w:t>
      </w:r>
    </w:p>
    <w:p w14:paraId="33734432">
      <w:pPr>
        <w:pStyle w:val="9"/>
        <w:tabs>
          <w:tab w:val="left" w:pos="822"/>
        </w:tabs>
        <w:spacing w:before="0" w:line="360" w:lineRule="auto"/>
        <w:ind w:left="816" w:hanging="357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II.</w:t>
      </w: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>przekazania Organizatorowi kopii takich skarg oraz informacji o sposobie ich załatwienia (kopii odpowiedzi na skargę lub reklamację).</w:t>
      </w:r>
    </w:p>
    <w:p w14:paraId="680BF320">
      <w:pPr>
        <w:pStyle w:val="9"/>
        <w:tabs>
          <w:tab w:val="left" w:pos="426"/>
        </w:tabs>
        <w:spacing w:before="0" w:line="360" w:lineRule="auto"/>
        <w:ind w:left="426" w:hanging="426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3.</w:t>
      </w: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>W przypadku wniesienia do Organizatora skargi dotyczącej niezadowolenia ze sposobu rozpatrzenia skargi lub reklamacji przez Operatora, Organizator rozpatruje tą skargę lub reklamacje na podstawie zebranych w sprawie dokumentów i zawiadamia Operatora oraz skarżącego o sposobie rozpatrzenia tej skargi w terminie 14 dni od jej otrzymania.</w:t>
      </w:r>
    </w:p>
    <w:p w14:paraId="2D7AFEF9">
      <w:pPr>
        <w:pStyle w:val="9"/>
        <w:tabs>
          <w:tab w:val="left" w:pos="426"/>
        </w:tabs>
        <w:spacing w:before="0" w:line="360" w:lineRule="auto"/>
        <w:ind w:left="426" w:hanging="426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4.</w:t>
      </w: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>W przypadku uznania przez Organizatora skargi lub reklamacji w sprawie dotyczącej naliczenia opłaty dodatkowej Operator zobowiązany jest do odstąpienia od naliczenia tej opłaty.</w:t>
      </w:r>
    </w:p>
    <w:p w14:paraId="629462F5">
      <w:pPr>
        <w:pStyle w:val="9"/>
        <w:tabs>
          <w:tab w:val="left" w:pos="426"/>
        </w:tabs>
        <w:spacing w:before="0" w:line="360" w:lineRule="auto"/>
        <w:ind w:left="426" w:hanging="426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5.</w:t>
      </w: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 xml:space="preserve">W przypadku, gdyby wobec Organizatora skierowane zostały jakiekolwiek roszczenia osób trzecich powstałe w związku z usługami wykonywanymi przez Operatora, Operator na żądanie Organizatora przejmie prowadzenie sprawy oraz ponosi on wszelką odpowiedzialność z tytułu tych roszczeń i we własnym zakresie zaspokoi takie roszczenia, jeśli będą one zasadne. </w:t>
      </w:r>
      <w:r>
        <w:rPr>
          <w:rFonts w:asciiTheme="minorHAnsi" w:hAnsiTheme="minorHAnsi" w:cstheme="minorHAnsi"/>
          <w:sz w:val="24"/>
          <w:szCs w:val="24"/>
        </w:rPr>
        <w:br w:type="textWrapping"/>
      </w:r>
      <w:r>
        <w:rPr>
          <w:rFonts w:asciiTheme="minorHAnsi" w:hAnsiTheme="minorHAnsi" w:cstheme="minorHAnsi"/>
          <w:sz w:val="24"/>
          <w:szCs w:val="24"/>
        </w:rPr>
        <w:t>O przejęciu prowadzenia sprawy Operator niezwłocznie powiadomi osoby trzecie.</w:t>
      </w:r>
    </w:p>
    <w:p w14:paraId="71A53C4C">
      <w:pPr>
        <w:pStyle w:val="9"/>
        <w:tabs>
          <w:tab w:val="left" w:pos="426"/>
        </w:tabs>
        <w:spacing w:before="0" w:line="360" w:lineRule="auto"/>
        <w:ind w:left="426" w:hanging="426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6.</w:t>
      </w: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>W przypadku, gdy na mocy obowiązujących przepisów prawa albo orzeczenia sądu lub innego uprawnionego organu Organizator byłby zobowiązany do zaspokojenia roszczeń powstałych w związku z wykonywaniem przez Operatora usług, Operator zobowiązuje się przekazać na żądanie Organizatora w terminie przez niego wskazanym kwotę równą wysokości zaspokojonych roszczeń.</w:t>
      </w:r>
    </w:p>
    <w:p w14:paraId="6B073401">
      <w:pPr>
        <w:pStyle w:val="9"/>
        <w:tabs>
          <w:tab w:val="left" w:pos="426"/>
        </w:tabs>
        <w:spacing w:before="0" w:line="360" w:lineRule="auto"/>
        <w:ind w:left="426" w:hanging="426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7.</w:t>
      </w: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>Organizator zobowiązuje się, że nie będzie bez zgody Operatora uznawał żadnych roszczeń osób trzecich kierowanych do Organizatora w związku z działaniami Operatora, co do których Organizatorowi  przysługiwałoby roszczenie  regresowe do Operatora.</w:t>
      </w:r>
    </w:p>
    <w:p w14:paraId="0E630912">
      <w:pPr>
        <w:pStyle w:val="9"/>
        <w:tabs>
          <w:tab w:val="left" w:pos="822"/>
        </w:tabs>
        <w:spacing w:before="0" w:line="360" w:lineRule="auto"/>
        <w:ind w:left="816" w:hanging="357"/>
        <w:jc w:val="center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§ 5</w:t>
      </w:r>
    </w:p>
    <w:p w14:paraId="085FB103">
      <w:pPr>
        <w:pStyle w:val="9"/>
        <w:tabs>
          <w:tab w:val="left" w:pos="426"/>
        </w:tabs>
        <w:spacing w:before="0" w:line="360" w:lineRule="auto"/>
        <w:ind w:left="426" w:hanging="426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1.</w:t>
      </w: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>Zmiany lub aktualizacje rozkładu jazdy w celu poprawy / optymalizacji funkcjonowania przewozów rozpatrywane są na podstawie umotywowanego pisemnego wniosku Operatora za zgodą Organizatora, pod warunkiem zgodności z obowiązującymi w tym zakresie przepisami prawa oraz warunkami otrzymanej dopłaty, uwzględniając zapotrzebowania na przewozy oraz możliwości Operatora. Zmiana w tym zakresie wymaga formy pisemnej.</w:t>
      </w:r>
    </w:p>
    <w:p w14:paraId="5A167FC7">
      <w:pPr>
        <w:pStyle w:val="9"/>
        <w:tabs>
          <w:tab w:val="left" w:pos="426"/>
        </w:tabs>
        <w:spacing w:before="0" w:line="360" w:lineRule="auto"/>
        <w:ind w:left="426" w:hanging="426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2.</w:t>
      </w: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>Wszelkie zmiany w rozkładzie jazdy w prowadzonych gminnych przewozach pasażerskich,                    o których mowa w ust. 1 pozostają bez wpływu na wysokość rekompensaty Operatora.</w:t>
      </w:r>
    </w:p>
    <w:p w14:paraId="2C30DE45">
      <w:pPr>
        <w:pStyle w:val="9"/>
        <w:tabs>
          <w:tab w:val="left" w:pos="426"/>
        </w:tabs>
        <w:spacing w:before="0" w:line="360" w:lineRule="auto"/>
        <w:ind w:left="426" w:hanging="426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3.</w:t>
      </w: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>W przypadku wystąpienia okoliczności uniemożliwiających wykonanie usługi, jeżeli                            w wyniku wystąpienia tych okoliczności nie jest wykonywany przewóz, Operatorowi nie należy się rekompensata za okres, w którym nie była świadczona usługa przewozu.</w:t>
      </w:r>
    </w:p>
    <w:p w14:paraId="69CBC2E6">
      <w:pPr>
        <w:pStyle w:val="9"/>
        <w:tabs>
          <w:tab w:val="left" w:pos="822"/>
        </w:tabs>
        <w:spacing w:before="0" w:line="360" w:lineRule="auto"/>
        <w:ind w:left="816" w:hanging="357"/>
        <w:jc w:val="center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§ 6</w:t>
      </w:r>
    </w:p>
    <w:p w14:paraId="4900D67C">
      <w:pPr>
        <w:pStyle w:val="9"/>
        <w:numPr>
          <w:ilvl w:val="0"/>
          <w:numId w:val="3"/>
        </w:numPr>
        <w:tabs>
          <w:tab w:val="left" w:pos="426"/>
        </w:tabs>
        <w:spacing w:before="0" w:line="360" w:lineRule="auto"/>
        <w:ind w:left="426" w:hanging="426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Operatorowi przysługiwać będzie od Organizatora rekompensata obejmująca stratę Operatora związaną z wykonaniem Przedmiotu Umowy na podstawie dokumentów Operatora potwierdzających wykonanie usługi. Rozliczenie nastąpi wg wzoru stanowiącego </w:t>
      </w:r>
      <w:r>
        <w:rPr>
          <w:rFonts w:asciiTheme="minorHAnsi" w:hAnsiTheme="minorHAnsi" w:cstheme="minorHAnsi"/>
          <w:sz w:val="24"/>
          <w:szCs w:val="24"/>
          <w:highlight w:val="none"/>
        </w:rPr>
        <w:t>załącznik nr 2 do niniejszej umowy, złożonego w terminie 2 dni po danym miesiącu wykonani</w:t>
      </w:r>
      <w:r>
        <w:rPr>
          <w:rFonts w:hint="default" w:asciiTheme="minorHAnsi" w:hAnsiTheme="minorHAnsi" w:cstheme="minorHAnsi"/>
          <w:sz w:val="24"/>
          <w:szCs w:val="24"/>
          <w:highlight w:val="none"/>
          <w:lang w:val="pl-PL"/>
        </w:rPr>
        <w:t>a</w:t>
      </w:r>
      <w:r>
        <w:rPr>
          <w:rFonts w:asciiTheme="minorHAnsi" w:hAnsiTheme="minorHAnsi" w:cstheme="minorHAnsi"/>
          <w:sz w:val="24"/>
          <w:szCs w:val="24"/>
          <w:highlight w:val="none"/>
        </w:rPr>
        <w:t xml:space="preserve"> </w:t>
      </w:r>
      <w:r>
        <w:rPr>
          <w:rFonts w:hint="default" w:asciiTheme="minorHAnsi" w:hAnsiTheme="minorHAnsi" w:cstheme="minorHAnsi"/>
          <w:sz w:val="24"/>
          <w:szCs w:val="24"/>
          <w:highlight w:val="none"/>
          <w:lang w:val="pl-PL"/>
        </w:rPr>
        <w:t xml:space="preserve">usług, </w:t>
      </w:r>
      <w:r>
        <w:rPr>
          <w:rFonts w:asciiTheme="minorHAnsi" w:hAnsiTheme="minorHAnsi" w:cstheme="minorHAnsi"/>
          <w:sz w:val="24"/>
          <w:szCs w:val="24"/>
          <w:highlight w:val="none"/>
        </w:rPr>
        <w:t xml:space="preserve">w </w:t>
      </w:r>
      <w:r>
        <w:rPr>
          <w:rFonts w:asciiTheme="minorHAnsi" w:hAnsiTheme="minorHAnsi" w:cstheme="minorHAnsi"/>
          <w:sz w:val="24"/>
          <w:szCs w:val="24"/>
        </w:rPr>
        <w:t>którym Operator wykaże, że podstawą poniesionej straty</w:t>
      </w:r>
      <w:r>
        <w:rPr>
          <w:rFonts w:hint="default" w:asciiTheme="minorHAnsi" w:hAnsiTheme="minorHAnsi" w:cstheme="minorHAnsi"/>
          <w:sz w:val="24"/>
          <w:szCs w:val="24"/>
          <w:lang w:val="pl-PL"/>
        </w:rPr>
        <w:t xml:space="preserve"> </w:t>
      </w:r>
      <w:r>
        <w:rPr>
          <w:rFonts w:asciiTheme="minorHAnsi" w:hAnsiTheme="minorHAnsi" w:cstheme="minorHAnsi"/>
          <w:sz w:val="24"/>
          <w:szCs w:val="24"/>
        </w:rPr>
        <w:t>z tytułu realizacji usług w zakresie publicznego transportu zbiorowego są utracone przychody i poniesione koszty.</w:t>
      </w:r>
    </w:p>
    <w:p w14:paraId="40312039">
      <w:pPr>
        <w:pStyle w:val="9"/>
        <w:numPr>
          <w:ilvl w:val="0"/>
          <w:numId w:val="3"/>
        </w:numPr>
        <w:tabs>
          <w:tab w:val="left" w:pos="426"/>
        </w:tabs>
        <w:spacing w:before="0" w:line="360" w:lineRule="auto"/>
        <w:ind w:left="426" w:hanging="426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Rekompensatę Operatora stanowi ilość wozokilometrów pomnożonych przez deficyt na                        1 wozokilometrze, który stanowi stawkę za jeden wozokilometr minus ewentualną nadwyżkę powyżej 1 zł przychodów na jeden wozokilometr.</w:t>
      </w:r>
    </w:p>
    <w:p w14:paraId="37AE07FE">
      <w:pPr>
        <w:pStyle w:val="9"/>
        <w:numPr>
          <w:ilvl w:val="0"/>
          <w:numId w:val="3"/>
        </w:numPr>
        <w:tabs>
          <w:tab w:val="left" w:pos="426"/>
        </w:tabs>
        <w:spacing w:before="0" w:line="360" w:lineRule="auto"/>
        <w:ind w:left="426" w:hanging="426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Z uwagi na okres, w którym umowa ma być wykonywana, Operator oświadcza, że koszty stałe wykonywania publicznego transportu zbiorowego nie wzrosną przez cały okres obowiązywania umowy.</w:t>
      </w:r>
    </w:p>
    <w:p w14:paraId="2A757A95">
      <w:pPr>
        <w:pStyle w:val="9"/>
        <w:numPr>
          <w:ilvl w:val="0"/>
          <w:numId w:val="3"/>
        </w:numPr>
        <w:tabs>
          <w:tab w:val="left" w:pos="426"/>
        </w:tabs>
        <w:spacing w:before="0" w:line="360" w:lineRule="auto"/>
        <w:ind w:left="426" w:hanging="426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Po każdym miesiącu wykonania usługi w terminie 3 dni licząc od końca miesiąca Operator przedstawi noty obciążeniowe.</w:t>
      </w:r>
    </w:p>
    <w:p w14:paraId="77EC81C3">
      <w:pPr>
        <w:pStyle w:val="9"/>
        <w:numPr>
          <w:ilvl w:val="0"/>
          <w:numId w:val="3"/>
        </w:numPr>
        <w:tabs>
          <w:tab w:val="left" w:pos="426"/>
        </w:tabs>
        <w:spacing w:before="0" w:line="360" w:lineRule="auto"/>
        <w:ind w:left="426" w:hanging="426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Organizator zweryfikuje w terminie 14 dni od dnia wpływu noty obciążeniowe dot. wypłaty rekompensaty Operatorowi za wykonaną usługę jeżeli wyżej wskazane dokumenty nie będą posiadły błędów dokona płatności .</w:t>
      </w:r>
    </w:p>
    <w:p w14:paraId="473B1BA9">
      <w:pPr>
        <w:pStyle w:val="9"/>
        <w:numPr>
          <w:ilvl w:val="0"/>
          <w:numId w:val="3"/>
        </w:numPr>
        <w:tabs>
          <w:tab w:val="left" w:pos="426"/>
        </w:tabs>
        <w:spacing w:before="0" w:line="360" w:lineRule="auto"/>
        <w:ind w:left="426" w:hanging="426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Do ustalania i wypłaty rekompensaty stosuje się przepisy art. 50 i art. 52 – 58a ustawy z dnia </w:t>
      </w:r>
      <w:r>
        <w:rPr>
          <w:rFonts w:asciiTheme="minorHAnsi" w:hAnsiTheme="minorHAnsi" w:cstheme="minorHAnsi"/>
          <w:sz w:val="24"/>
          <w:szCs w:val="24"/>
        </w:rPr>
        <w:br w:type="textWrapping"/>
      </w:r>
      <w:r>
        <w:rPr>
          <w:rFonts w:asciiTheme="minorHAnsi" w:hAnsiTheme="minorHAnsi" w:cstheme="minorHAnsi"/>
          <w:sz w:val="24"/>
          <w:szCs w:val="24"/>
        </w:rPr>
        <w:t>16 grudnia 2010 r. o publicznym transporcie zbiorowym (t.j. Dz. U. 2023 r., poz. 2778 z późn. zm.).</w:t>
      </w:r>
    </w:p>
    <w:p w14:paraId="41A10C1E">
      <w:pPr>
        <w:pStyle w:val="9"/>
        <w:tabs>
          <w:tab w:val="left" w:pos="822"/>
        </w:tabs>
        <w:spacing w:before="0" w:line="360" w:lineRule="auto"/>
        <w:ind w:left="816" w:hanging="357"/>
        <w:jc w:val="center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§ 7</w:t>
      </w:r>
    </w:p>
    <w:p w14:paraId="5A5AC00D">
      <w:pPr>
        <w:pStyle w:val="9"/>
        <w:numPr>
          <w:ilvl w:val="1"/>
          <w:numId w:val="4"/>
        </w:numPr>
        <w:tabs>
          <w:tab w:val="left" w:pos="426"/>
        </w:tabs>
        <w:spacing w:before="0" w:line="360" w:lineRule="auto"/>
        <w:ind w:left="426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Otrzymywana przez Operatora rekompensata nie stanowi bezpośredniej dopłaty związanej                    z realizacją usługi w ramach umowy o świadczenie usługi w zakresie publicznego transportu zbiorowego, gdyż nie wpływa wprost na wysokość kosztu tej usługi oferowanej przez Operatora. Celem tej rekompensaty jest dofinansowanie całej działalności Operatora (jego wyniku finansowego), na który zgodnie z rozporządzeniem (WE) nr 1370/2007 Parlamentu Europejskiego i Rady składają się: koszty poniesione w związku ze zobowiązaniem z tytułu świadczenie usług publicznych wynikającym z umowy o świadczenie usług publicznych, pomniejszone o wszystkie dodatnie wpływy finansowe wygenerowane na sieci obsługiwanej w ramach danego zobowiązania z tytułu świadczenia usług publicznych oraz o przychody taryfowe i jakiekolwiek inne przychody wygenerowane podczas wypełniania danego zobowiązania z tytułu świadczenia usług publicznych, a powiększone o rozsądny zysk. Tym samym należy przyjąć, że przekazywana przez Organizatora rekompensata ma na celu dofinansowanie ogólnych kosztów działalności Operatora i nie można jej powiązać                                   z konkretnymi czynnościami podlegającymi opodatkowaniu podatkiem od towarów i usług (np. cena biletu).</w:t>
      </w:r>
    </w:p>
    <w:p w14:paraId="668694CD">
      <w:pPr>
        <w:pStyle w:val="9"/>
        <w:numPr>
          <w:ilvl w:val="1"/>
          <w:numId w:val="4"/>
        </w:numPr>
        <w:tabs>
          <w:tab w:val="left" w:pos="426"/>
        </w:tabs>
        <w:spacing w:before="0" w:line="360" w:lineRule="auto"/>
        <w:ind w:left="426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Jednocześnie z uwagi na brak opodatkowania podatkiem od towarów i usług przekazywanej Operatorom rekompensaty, prawidłowe jest rozliczanie Organizatora z Operatorem poprzez noty obciążeniowe.</w:t>
      </w:r>
    </w:p>
    <w:p w14:paraId="7A18F0B7">
      <w:pPr>
        <w:pStyle w:val="9"/>
        <w:numPr>
          <w:ilvl w:val="1"/>
          <w:numId w:val="4"/>
        </w:numPr>
        <w:tabs>
          <w:tab w:val="left" w:pos="426"/>
        </w:tabs>
        <w:spacing w:before="0" w:line="360" w:lineRule="auto"/>
        <w:ind w:left="426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Strony przyjmują do rozliczenia koszt jednego wozokilometra przez cały okres, na który zawarta została niniejsza umowa w wysokości …</w:t>
      </w:r>
      <w:r>
        <w:rPr>
          <w:rFonts w:hint="default" w:asciiTheme="minorHAnsi" w:hAnsiTheme="minorHAnsi" w:cstheme="minorHAnsi"/>
          <w:sz w:val="24"/>
          <w:szCs w:val="24"/>
          <w:lang w:val="pl-PL"/>
        </w:rPr>
        <w:t>...................................................................</w:t>
      </w:r>
      <w:r>
        <w:rPr>
          <w:rFonts w:asciiTheme="minorHAnsi" w:hAnsiTheme="minorHAnsi" w:cstheme="minorHAnsi"/>
          <w:sz w:val="24"/>
          <w:szCs w:val="24"/>
        </w:rPr>
        <w:t xml:space="preserve"> zł.;</w:t>
      </w:r>
      <w:bookmarkStart w:id="4" w:name="_Hlk96946993"/>
    </w:p>
    <w:bookmarkEnd w:id="4"/>
    <w:p w14:paraId="29D78ADA">
      <w:pPr>
        <w:pStyle w:val="9"/>
        <w:numPr>
          <w:ilvl w:val="1"/>
          <w:numId w:val="4"/>
        </w:numPr>
        <w:tabs>
          <w:tab w:val="left" w:pos="426"/>
        </w:tabs>
        <w:spacing w:before="0" w:line="360" w:lineRule="auto"/>
        <w:ind w:left="426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Po każdym miesiącu wykonania usługi w terminie 3 dni licząc od końca miesiąca Operator   przedstawi noty obciążeniowe wraz z załącznikiem nr 2 do umowy.</w:t>
      </w:r>
    </w:p>
    <w:p w14:paraId="4CF6961A">
      <w:pPr>
        <w:pStyle w:val="9"/>
        <w:numPr>
          <w:ilvl w:val="1"/>
          <w:numId w:val="4"/>
        </w:numPr>
        <w:tabs>
          <w:tab w:val="left" w:pos="426"/>
        </w:tabs>
        <w:spacing w:before="0" w:line="360" w:lineRule="auto"/>
        <w:ind w:left="426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Szacunkowa, maksymalna ilość wozokilometrów w komunikacji gminnej przyjęta do rozliczenia usługi określonej niniejszą umową w</w:t>
      </w:r>
      <w:r>
        <w:rPr>
          <w:rFonts w:asciiTheme="minorHAnsi" w:hAnsiTheme="minorHAnsi" w:cstheme="minorHAnsi"/>
          <w:sz w:val="24"/>
          <w:szCs w:val="24"/>
          <w:highlight w:val="none"/>
        </w:rPr>
        <w:t>ynosi 227 912,00.</w:t>
      </w:r>
    </w:p>
    <w:p w14:paraId="16892AA8">
      <w:pPr>
        <w:pStyle w:val="9"/>
        <w:numPr>
          <w:ilvl w:val="1"/>
          <w:numId w:val="4"/>
        </w:numPr>
        <w:tabs>
          <w:tab w:val="left" w:pos="426"/>
        </w:tabs>
        <w:spacing w:before="0" w:line="360" w:lineRule="auto"/>
        <w:ind w:left="426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Wysokość rekompensaty za wykonanie umowy maksymalnie stanowić będzie:</w:t>
      </w:r>
      <w:bookmarkStart w:id="5" w:name="_Hlk97623497"/>
      <w:r>
        <w:rPr>
          <w:rFonts w:hint="default" w:asciiTheme="minorHAnsi" w:hAnsiTheme="minorHAnsi" w:cstheme="minorHAnsi"/>
          <w:sz w:val="24"/>
          <w:szCs w:val="24"/>
          <w:lang w:val="pl-PL"/>
        </w:rPr>
        <w:t xml:space="preserve"> </w:t>
      </w:r>
      <w:r>
        <w:rPr>
          <w:rFonts w:asciiTheme="minorHAnsi" w:hAnsiTheme="minorHAnsi" w:cstheme="minorHAnsi"/>
          <w:sz w:val="24"/>
          <w:szCs w:val="24"/>
        </w:rPr>
        <w:t>1 002 812,80 zł;</w:t>
      </w:r>
      <w:bookmarkEnd w:id="5"/>
    </w:p>
    <w:p w14:paraId="62FC0537">
      <w:pPr>
        <w:spacing w:line="360" w:lineRule="auto"/>
        <w:ind w:left="426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przy założeniu, że przewidywane przychody przewoźnika za jeden wozokilometr wynosi 1 zł.</w:t>
      </w:r>
    </w:p>
    <w:p w14:paraId="19378AC7">
      <w:pPr>
        <w:pStyle w:val="9"/>
        <w:numPr>
          <w:ilvl w:val="1"/>
          <w:numId w:val="4"/>
        </w:numPr>
        <w:tabs>
          <w:tab w:val="left" w:pos="426"/>
        </w:tabs>
        <w:spacing w:before="0" w:line="360" w:lineRule="auto"/>
        <w:ind w:left="426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Wartość szacunkowej rekompensaty wynosi maksymalnie</w:t>
      </w:r>
      <w:r>
        <w:rPr>
          <w:rFonts w:hint="default" w:asciiTheme="minorHAnsi" w:hAnsiTheme="minorHAnsi" w:cstheme="minorHAnsi"/>
          <w:sz w:val="24"/>
          <w:szCs w:val="24"/>
          <w:lang w:val="pl-PL"/>
        </w:rPr>
        <w:t xml:space="preserve">: </w:t>
      </w:r>
      <w:r>
        <w:rPr>
          <w:rFonts w:asciiTheme="minorHAnsi" w:hAnsiTheme="minorHAnsi" w:cstheme="minorHAnsi"/>
          <w:sz w:val="24"/>
          <w:szCs w:val="24"/>
        </w:rPr>
        <w:t xml:space="preserve"> 1 002 812,80 zł </w:t>
      </w: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>(słownie:</w:t>
      </w:r>
      <w:r>
        <w:rPr>
          <w:rFonts w:hint="default" w:asciiTheme="minorHAnsi" w:hAnsiTheme="minorHAnsi" w:cstheme="minorHAnsi"/>
          <w:sz w:val="24"/>
          <w:szCs w:val="24"/>
          <w:lang w:val="pl-PL"/>
        </w:rPr>
        <w:t xml:space="preserve"> </w:t>
      </w:r>
      <w:r>
        <w:rPr>
          <w:rFonts w:asciiTheme="minorHAnsi" w:hAnsiTheme="minorHAnsi" w:cstheme="minorHAnsi"/>
          <w:sz w:val="24"/>
          <w:szCs w:val="24"/>
        </w:rPr>
        <w:t>jeden milion dwa tysiące osiemset dwanaście złotych 80/100).</w:t>
      </w:r>
    </w:p>
    <w:p w14:paraId="300432D8">
      <w:pPr>
        <w:pStyle w:val="9"/>
        <w:tabs>
          <w:tab w:val="left" w:pos="459"/>
        </w:tabs>
        <w:spacing w:before="0" w:line="360" w:lineRule="auto"/>
        <w:ind w:left="426" w:firstLine="0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Jeżeli w okresie rozliczeniowym wynoszącym 1 miesiąc kalendarzowy przychody Operatora                        z tytułu sprzedaży biletów oraz kar i opłat przekroczy wartość 1 zł za 1 wozokilometr, wówczas kwota miesięcznej rekompensaty jest zmniejszona o kwotę stanowiącą iloczyn wozokilometrów przejechanych przez pojazd Operatora w danym okresie rozliczeniowym oraz kwotę nadwyżki przychodów ponad 1 zł/wozokilometr.</w:t>
      </w:r>
    </w:p>
    <w:p w14:paraId="2C1F4F47">
      <w:pPr>
        <w:pStyle w:val="9"/>
        <w:numPr>
          <w:ilvl w:val="1"/>
          <w:numId w:val="4"/>
        </w:numPr>
        <w:tabs>
          <w:tab w:val="left" w:pos="426"/>
        </w:tabs>
        <w:spacing w:before="0" w:line="360" w:lineRule="auto"/>
        <w:ind w:left="426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Rekompensata będzie przekazywana z dołu na konto Operatora w okresach miesięcznych płatnych w terminie 14 dni od daty otrzymania prawidłowo wystawionych not obciążeniowych przez Organizatora.</w:t>
      </w:r>
    </w:p>
    <w:p w14:paraId="48312338">
      <w:pPr>
        <w:pStyle w:val="9"/>
        <w:tabs>
          <w:tab w:val="left" w:pos="822"/>
        </w:tabs>
        <w:spacing w:before="0" w:line="360" w:lineRule="auto"/>
        <w:ind w:left="816" w:hanging="357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>Notę obciążeniową należy wystawić w następujący sposób:</w:t>
      </w:r>
    </w:p>
    <w:p w14:paraId="2020FFAD">
      <w:pPr>
        <w:pStyle w:val="9"/>
        <w:tabs>
          <w:tab w:val="left" w:pos="822"/>
        </w:tabs>
        <w:spacing w:line="360" w:lineRule="auto"/>
        <w:ind w:left="816" w:hanging="357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>Nabywca:</w:t>
      </w: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>Odbiorca:</w:t>
      </w:r>
    </w:p>
    <w:p w14:paraId="2CFD4BA4">
      <w:pPr>
        <w:tabs>
          <w:tab w:val="left" w:pos="822"/>
        </w:tabs>
        <w:spacing w:line="360" w:lineRule="auto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>Gmina Wolbrom</w:t>
      </w: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>Urząd Miasta i Gminy w Wolbromiu</w:t>
      </w:r>
    </w:p>
    <w:p w14:paraId="0C4BAA79">
      <w:pPr>
        <w:pStyle w:val="9"/>
        <w:tabs>
          <w:tab w:val="left" w:pos="822"/>
        </w:tabs>
        <w:spacing w:before="0" w:line="360" w:lineRule="auto"/>
        <w:ind w:left="816" w:hanging="357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ab/>
      </w:r>
      <w:bookmarkStart w:id="6" w:name="_Hlk92955157"/>
      <w:r>
        <w:rPr>
          <w:rFonts w:asciiTheme="minorHAnsi" w:hAnsiTheme="minorHAnsi" w:cstheme="minorHAnsi"/>
          <w:sz w:val="24"/>
          <w:szCs w:val="24"/>
        </w:rPr>
        <w:t xml:space="preserve">Ul. Krakowska 1, </w:t>
      </w: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>Ul. Krakowska 1,</w:t>
      </w:r>
    </w:p>
    <w:p w14:paraId="4DD799E8">
      <w:pPr>
        <w:pStyle w:val="9"/>
        <w:tabs>
          <w:tab w:val="left" w:pos="822"/>
        </w:tabs>
        <w:spacing w:before="0" w:line="360" w:lineRule="auto"/>
        <w:ind w:left="816" w:hanging="357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 xml:space="preserve">32-340 Wolbrom </w:t>
      </w: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>32-340 Wolbrom</w:t>
      </w:r>
    </w:p>
    <w:bookmarkEnd w:id="6"/>
    <w:p w14:paraId="63382ABA">
      <w:pPr>
        <w:tabs>
          <w:tab w:val="left" w:pos="822"/>
        </w:tabs>
        <w:spacing w:line="360" w:lineRule="auto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>NIP: 637-20-03-423</w:t>
      </w:r>
    </w:p>
    <w:p w14:paraId="7CCC0C6A">
      <w:pPr>
        <w:pStyle w:val="9"/>
        <w:numPr>
          <w:ilvl w:val="1"/>
          <w:numId w:val="4"/>
        </w:numPr>
        <w:tabs>
          <w:tab w:val="left" w:pos="426"/>
        </w:tabs>
        <w:spacing w:before="0" w:line="360" w:lineRule="auto"/>
        <w:ind w:left="426"/>
        <w:jc w:val="left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Środki wynikające z niniejszej umowy będą przekazywane na podstawie noty obciążeniowej na rachunek Operatora o numerze:</w:t>
      </w:r>
    </w:p>
    <w:p w14:paraId="32CC2A8D">
      <w:pPr>
        <w:pStyle w:val="9"/>
        <w:numPr>
          <w:ilvl w:val="1"/>
          <w:numId w:val="4"/>
        </w:numPr>
        <w:tabs>
          <w:tab w:val="left" w:pos="426"/>
        </w:tabs>
        <w:spacing w:before="0" w:line="360" w:lineRule="auto"/>
        <w:ind w:left="426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W przypadku wystąpienia błędów w przedstawionych dokumentach Operator będzie zobowiązany do ich korekty.</w:t>
      </w:r>
    </w:p>
    <w:p w14:paraId="5D893112">
      <w:pPr>
        <w:pStyle w:val="9"/>
        <w:tabs>
          <w:tab w:val="left" w:pos="822"/>
        </w:tabs>
        <w:spacing w:before="0" w:line="360" w:lineRule="auto"/>
        <w:ind w:left="816" w:hanging="357"/>
        <w:jc w:val="center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§ 8</w:t>
      </w:r>
    </w:p>
    <w:p w14:paraId="732C752C">
      <w:pPr>
        <w:pStyle w:val="9"/>
        <w:numPr>
          <w:ilvl w:val="1"/>
          <w:numId w:val="5"/>
        </w:numPr>
        <w:tabs>
          <w:tab w:val="left" w:pos="822"/>
        </w:tabs>
        <w:spacing w:before="0" w:line="360" w:lineRule="auto"/>
        <w:ind w:left="426" w:hanging="284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Umowa zawarta jest na czas określony: od dnia 2 stycznia 2025 roku do 31 grudnia 2025 roku.</w:t>
      </w:r>
    </w:p>
    <w:p w14:paraId="0B981FEF">
      <w:pPr>
        <w:pStyle w:val="9"/>
        <w:numPr>
          <w:ilvl w:val="1"/>
          <w:numId w:val="5"/>
        </w:numPr>
        <w:tabs>
          <w:tab w:val="left" w:pos="822"/>
        </w:tabs>
        <w:spacing w:before="0" w:line="360" w:lineRule="auto"/>
        <w:ind w:left="426" w:hanging="284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W przypadku wystąpienia zagrożenia utraty płynności finansowej Operator jest zobowiązany niezwłocznie poinformować o tym Organizatora w formie pisemnej. </w:t>
      </w:r>
    </w:p>
    <w:p w14:paraId="660DCC8B">
      <w:pPr>
        <w:pStyle w:val="9"/>
        <w:numPr>
          <w:ilvl w:val="1"/>
          <w:numId w:val="5"/>
        </w:numPr>
        <w:tabs>
          <w:tab w:val="left" w:pos="822"/>
        </w:tabs>
        <w:spacing w:before="0" w:line="360" w:lineRule="auto"/>
        <w:ind w:left="426" w:hanging="284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Organizator ma prawo rozwiązać niniejszą umowę w każdym czasie bez zachowania terminu wypowiedzenia w przypadku:</w:t>
      </w:r>
    </w:p>
    <w:p w14:paraId="3A6CDD98">
      <w:pPr>
        <w:pStyle w:val="9"/>
        <w:tabs>
          <w:tab w:val="left" w:pos="822"/>
        </w:tabs>
        <w:spacing w:before="0" w:line="360" w:lineRule="auto"/>
        <w:ind w:left="816" w:hanging="357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1)</w:t>
      </w: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 xml:space="preserve">utraty przez Operatora licencji, zezwoleń, zgód i innych uprawnień koniecznych, określonych przepisami prawa, do wykonywania umowy, </w:t>
      </w:r>
    </w:p>
    <w:p w14:paraId="7D7DD5AD">
      <w:pPr>
        <w:pStyle w:val="9"/>
        <w:tabs>
          <w:tab w:val="left" w:pos="822"/>
        </w:tabs>
        <w:spacing w:before="0" w:line="360" w:lineRule="auto"/>
        <w:ind w:left="816" w:hanging="357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2)</w:t>
      </w: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>rażącego   naruszenia   przez    Operatora    postanowień    niniejszej    umowy,                                             w szczególności odwołania kursów z winy Operatora lub nieterminowego wykonywania przewozów,</w:t>
      </w:r>
    </w:p>
    <w:p w14:paraId="5F7B364C">
      <w:pPr>
        <w:pStyle w:val="9"/>
        <w:tabs>
          <w:tab w:val="left" w:pos="822"/>
        </w:tabs>
        <w:spacing w:before="0" w:line="360" w:lineRule="auto"/>
        <w:ind w:left="816" w:hanging="357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3)</w:t>
      </w: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>nie przekazania Organizatorowi informacji, o której mowa w ust. 2 lub utraty płynności finansowej przez Operatora.</w:t>
      </w:r>
    </w:p>
    <w:p w14:paraId="14DEE38B">
      <w:pPr>
        <w:pStyle w:val="9"/>
        <w:numPr>
          <w:ilvl w:val="1"/>
          <w:numId w:val="5"/>
        </w:numPr>
        <w:tabs>
          <w:tab w:val="left" w:pos="822"/>
        </w:tabs>
        <w:spacing w:before="0" w:line="360" w:lineRule="auto"/>
        <w:ind w:left="426" w:hanging="284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W razie zaistnienia istotnej zmiany okoliczności powodującej, że wykonanie umowy nie leży </w:t>
      </w:r>
      <w:r>
        <w:rPr>
          <w:rFonts w:asciiTheme="minorHAnsi" w:hAnsiTheme="minorHAnsi" w:cstheme="minorHAnsi"/>
          <w:sz w:val="24"/>
          <w:szCs w:val="24"/>
        </w:rPr>
        <w:br w:type="textWrapping"/>
      </w:r>
      <w:r>
        <w:rPr>
          <w:rFonts w:asciiTheme="minorHAnsi" w:hAnsiTheme="minorHAnsi" w:cstheme="minorHAnsi"/>
          <w:sz w:val="24"/>
          <w:szCs w:val="24"/>
        </w:rPr>
        <w:t>w interesie publicznym, czego nie można było przewidzieć w chwili zawarcia umowy, lub dalsze wykonywanie umowy może zagrozić podstawowemu interesowi bezpieczeństwa państwa lub bezpieczeństwu publicznemu. Organizator może odstąpić od umowy w terminie 30 dni od dnia powzięcia wiadomości o tych okolicznościach. W takim wypadku Operator może żądać wyłącznie wynagrodzenia należnego z tytułu wykonania części umowy.</w:t>
      </w:r>
    </w:p>
    <w:p w14:paraId="45CC0E7B">
      <w:pPr>
        <w:pStyle w:val="9"/>
        <w:tabs>
          <w:tab w:val="left" w:pos="822"/>
        </w:tabs>
        <w:spacing w:before="0" w:line="360" w:lineRule="auto"/>
        <w:ind w:left="816" w:hanging="357"/>
        <w:jc w:val="center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§ 9</w:t>
      </w:r>
    </w:p>
    <w:p w14:paraId="40546D5C">
      <w:pPr>
        <w:pStyle w:val="9"/>
        <w:numPr>
          <w:ilvl w:val="1"/>
          <w:numId w:val="6"/>
        </w:numPr>
        <w:tabs>
          <w:tab w:val="left" w:pos="426"/>
        </w:tabs>
        <w:spacing w:before="0" w:line="360" w:lineRule="auto"/>
        <w:ind w:left="426" w:hanging="284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Organizator dopuszcza zmianę niniejszej umowy w następujących przypadkach:</w:t>
      </w:r>
    </w:p>
    <w:p w14:paraId="01F432C0">
      <w:pPr>
        <w:pStyle w:val="9"/>
        <w:tabs>
          <w:tab w:val="left" w:pos="822"/>
        </w:tabs>
        <w:spacing w:before="0" w:line="360" w:lineRule="auto"/>
        <w:ind w:left="816" w:hanging="357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1)</w:t>
      </w: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>wprowadzenia zmian w rozkładzie jazdy, o których mowa w § 5,</w:t>
      </w:r>
    </w:p>
    <w:p w14:paraId="104B9870">
      <w:pPr>
        <w:pStyle w:val="9"/>
        <w:tabs>
          <w:tab w:val="left" w:pos="822"/>
        </w:tabs>
        <w:spacing w:before="0" w:line="360" w:lineRule="auto"/>
        <w:ind w:left="816" w:hanging="357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2)</w:t>
      </w: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>wprowadzenia przepisów lub zmian przepisów prawa, w tym prawa miejscowego, mających istotny wpływ na wykonywanie niniejszej umowy, w szczególności mających wpływ na zakres zobowiązań Operatora, przychody Operatora z biletów i kar, mogących powodować zmianę wynagrodzenia Operatora określonego niniejsze umową. W takim wypadku stronom umowy będzie przysługiwało przeliczenie wysokości ceny jednego wozokilometra określo</w:t>
      </w:r>
      <w:r>
        <w:rPr>
          <w:rFonts w:asciiTheme="minorHAnsi" w:hAnsiTheme="minorHAnsi" w:cstheme="minorHAnsi"/>
          <w:sz w:val="24"/>
          <w:szCs w:val="24"/>
          <w:highlight w:val="none"/>
        </w:rPr>
        <w:t>nej w § 7 ust. 3 w stosunku do wprowadzonych zmian</w:t>
      </w:r>
      <w:r>
        <w:rPr>
          <w:rFonts w:asciiTheme="minorHAnsi" w:hAnsiTheme="minorHAnsi" w:cstheme="minorHAnsi"/>
          <w:sz w:val="24"/>
          <w:szCs w:val="24"/>
        </w:rPr>
        <w:t>, na podstawie kalkulacji, o której mowa  w ust. 3 niniejszego paragrafu.</w:t>
      </w:r>
    </w:p>
    <w:p w14:paraId="3F23CC5E">
      <w:pPr>
        <w:pStyle w:val="9"/>
        <w:tabs>
          <w:tab w:val="left" w:pos="822"/>
        </w:tabs>
        <w:spacing w:before="0" w:line="360" w:lineRule="auto"/>
        <w:ind w:left="816" w:hanging="357"/>
        <w:rPr>
          <w:rFonts w:asciiTheme="minorHAnsi" w:hAnsiTheme="minorHAnsi" w:cstheme="minorHAnsi"/>
          <w:color w:val="FF0000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3)</w:t>
      </w: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 xml:space="preserve">zmiany stawki podatku VAT na skutek zmian w przepisach prawnych lub urzędowej zmiany podatku VAT, </w:t>
      </w:r>
    </w:p>
    <w:p w14:paraId="5B640E29">
      <w:pPr>
        <w:pStyle w:val="9"/>
        <w:tabs>
          <w:tab w:val="left" w:pos="459"/>
        </w:tabs>
        <w:spacing w:before="0" w:line="360" w:lineRule="auto"/>
        <w:ind w:left="785" w:leftChars="193" w:hangingChars="150"/>
        <w:rPr>
          <w:rFonts w:hint="default" w:ascii="Calibri" w:hAnsi="Calibri" w:cs="Calibr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4)  z uwagi na okoliczności wywołane sytuacjami kryzysowymi rozpoczęcie lub zakończenie </w:t>
      </w:r>
      <w:r>
        <w:rPr>
          <w:rFonts w:hint="default" w:ascii="Calibri" w:hAnsi="Calibri" w:cs="Calibri"/>
          <w:sz w:val="24"/>
          <w:szCs w:val="24"/>
        </w:rPr>
        <w:t>realizacji umowy może ulec zmianie.</w:t>
      </w:r>
    </w:p>
    <w:p w14:paraId="1DE0F7DF">
      <w:pPr>
        <w:pStyle w:val="9"/>
        <w:tabs>
          <w:tab w:val="left" w:pos="459"/>
        </w:tabs>
        <w:spacing w:before="0" w:line="360" w:lineRule="auto"/>
        <w:ind w:left="755" w:leftChars="193" w:hangingChars="150"/>
        <w:rPr>
          <w:rFonts w:hint="default" w:ascii="Calibri (Tekst podstawowy)" w:hAnsi="Calibri (Tekst podstawowy)" w:cs="Calibri (Tekst podstawowy)"/>
        </w:rPr>
      </w:pPr>
      <w:r>
        <w:rPr>
          <w:rFonts w:hint="default" w:ascii="Calibri" w:hAnsi="Calibri" w:cs="Calibri"/>
          <w:lang w:val="pl-PL"/>
        </w:rPr>
        <w:t xml:space="preserve">5) </w:t>
      </w:r>
      <w:r>
        <w:rPr>
          <w:rFonts w:hint="default" w:ascii="Calibri (Tekst podstawowy)" w:hAnsi="Calibri (Tekst podstawowy)" w:cs="Calibri (Tekst podstawowy)"/>
        </w:rPr>
        <w:t xml:space="preserve">W przypadku zmiany ceny materiałów lub kosztów związanych z realizacją zamówienia (umowy) </w:t>
      </w:r>
      <w:r>
        <w:rPr>
          <w:rFonts w:hint="default" w:ascii="Calibri (Tekst podstawowy)" w:hAnsi="Calibri (Tekst podstawowy)" w:cs="Calibri (Tekst podstawowy)"/>
          <w:bCs/>
        </w:rPr>
        <w:t>w rozumieniu art. 439 ustawy Pzp.</w:t>
      </w:r>
      <w:r>
        <w:rPr>
          <w:rFonts w:hint="default" w:ascii="Calibri (Tekst podstawowy)" w:hAnsi="Calibri (Tekst podstawowy)" w:cs="Calibri (Tekst podstawowy)"/>
        </w:rPr>
        <w:t xml:space="preserve"> Przez zmianę ceny materiałów lub kosztów rozumie się wzrost odpowiednio cen lub kosztów, jak i ich obniżenie, względem ceny lub kosztu przyjętych w celu ustalenia wynagrodzenia Wykonawcy zawartego w ofercie. Strony umowy będą uprawnione do zmiany wynagrodzenia, o ile poziom zmiany ceny materiałów lub kosztów, przez który rozumie się </w:t>
      </w:r>
      <w:r>
        <w:rPr>
          <w:rFonts w:hint="default" w:ascii="Calibri (Tekst podstawowy)" w:hAnsi="Calibri (Tekst podstawowy)" w:cs="Calibri (Tekst podstawowy)"/>
          <w:highlight w:val="none"/>
        </w:rPr>
        <w:t>średnioroczny wskaźnik cen towarów i usług konsumpcyjnych za rok poprzedni, publikowany przez Prezesa Głównego Urzędu Statystycznego,</w:t>
      </w:r>
      <w:r>
        <w:rPr>
          <w:rFonts w:hint="default" w:ascii="Calibri (Tekst podstawowy)" w:hAnsi="Calibri (Tekst podstawowy)" w:cs="Calibri (Tekst podstawowy)"/>
        </w:rPr>
        <w:t xml:space="preserve"> osiągnie poziom co najmniej 5%. Maksymalna wartość zmiany wynagrodzenia, jaką dopuszcza Zamawiający w efekcie zastosowania postanowień o zasadach wprowadzania zmian wynosi 8% wynagrodzenia Wykonawcy (wartości pierwotnej umowy, na dzień zawarcia umowy). Zasady ustalania zmiany wynagrodzenia: </w:t>
      </w:r>
    </w:p>
    <w:p w14:paraId="3E6A9707">
      <w:pPr>
        <w:numPr>
          <w:ilvl w:val="1"/>
          <w:numId w:val="7"/>
        </w:numPr>
        <w:tabs>
          <w:tab w:val="left" w:pos="1277"/>
        </w:tabs>
        <w:spacing w:line="360" w:lineRule="auto"/>
        <w:ind w:left="1277" w:hanging="284"/>
        <w:jc w:val="both"/>
        <w:rPr>
          <w:rFonts w:hint="default" w:ascii="Calibri (Tekst podstawowy)" w:hAnsi="Calibri (Tekst podstawowy)" w:cs="Calibri (Tekst podstawowy)"/>
        </w:rPr>
      </w:pPr>
      <w:r>
        <w:rPr>
          <w:rFonts w:hint="default" w:ascii="Calibri (Tekst podstawowy)" w:hAnsi="Calibri (Tekst podstawowy)" w:cs="Calibri (Tekst podstawowy)"/>
        </w:rPr>
        <w:t>z</w:t>
      </w:r>
      <w:r>
        <w:rPr>
          <w:rFonts w:hint="default" w:ascii="Calibri (Tekst podstawowy)" w:hAnsi="Calibri (Tekst podstawowy)" w:eastAsia="SimSun" w:cs="Calibri (Tekst podstawowy)"/>
          <w:kern w:val="2"/>
          <w:lang w:eastAsia="hi-IN" w:bidi="hi-IN"/>
        </w:rPr>
        <w:t xml:space="preserve">miana wynagrodzenia nastąpi jednokrotnie, z zastrzeżeniem, iż pierwsza zmiana może nastąpić </w:t>
      </w:r>
      <w:r>
        <w:rPr>
          <w:rFonts w:hint="default" w:ascii="Calibri (Tekst podstawowy)" w:hAnsi="Calibri (Tekst podstawowy)" w:eastAsia="SimSun" w:cs="Calibri (Tekst podstawowy)"/>
          <w:kern w:val="2"/>
          <w:lang w:val="pl-PL" w:eastAsia="hi-IN" w:bidi="hi-IN"/>
        </w:rPr>
        <w:t xml:space="preserve">po II kwartale </w:t>
      </w:r>
      <w:r>
        <w:rPr>
          <w:rFonts w:hint="default" w:ascii="Calibri (Tekst podstawowy)" w:hAnsi="Calibri (Tekst podstawowy)" w:eastAsia="SimSun" w:cs="Calibri (Tekst podstawowy)"/>
          <w:kern w:val="2"/>
          <w:lang w:eastAsia="hi-IN" w:bidi="hi-IN"/>
        </w:rPr>
        <w:t xml:space="preserve">2025r., </w:t>
      </w:r>
      <w:r>
        <w:rPr>
          <w:rFonts w:hint="default" w:ascii="Calibri (Tekst podstawowy)" w:hAnsi="Calibri (Tekst podstawowy)" w:cs="Calibri (Tekst podstawowy)"/>
        </w:rPr>
        <w:t xml:space="preserve"> </w:t>
      </w:r>
    </w:p>
    <w:p w14:paraId="64FF759F">
      <w:pPr>
        <w:numPr>
          <w:ilvl w:val="1"/>
          <w:numId w:val="7"/>
        </w:numPr>
        <w:tabs>
          <w:tab w:val="left" w:pos="1277"/>
        </w:tabs>
        <w:spacing w:line="360" w:lineRule="auto"/>
        <w:ind w:left="1277" w:hanging="284"/>
        <w:jc w:val="both"/>
        <w:rPr>
          <w:rFonts w:hint="default" w:ascii="Calibri (Tekst podstawowy)" w:hAnsi="Calibri (Tekst podstawowy)" w:cs="Calibri (Tekst podstawowy)"/>
        </w:rPr>
      </w:pPr>
      <w:r>
        <w:rPr>
          <w:rFonts w:hint="default" w:ascii="Calibri (Tekst podstawowy)" w:hAnsi="Calibri (Tekst podstawowy)" w:cs="Calibri (Tekst podstawowy)"/>
        </w:rPr>
        <w:t>zmiana wynagrodzenia odnosić się będzie do części przedmiotu umowy niezrealizowanej (działa na przyszłość od momentu dokonania zmiany),</w:t>
      </w:r>
    </w:p>
    <w:p w14:paraId="4E7AB6B4">
      <w:pPr>
        <w:numPr>
          <w:ilvl w:val="1"/>
          <w:numId w:val="7"/>
        </w:numPr>
        <w:tabs>
          <w:tab w:val="left" w:pos="1277"/>
        </w:tabs>
        <w:spacing w:line="360" w:lineRule="auto"/>
        <w:ind w:left="1277" w:hanging="284"/>
        <w:jc w:val="both"/>
        <w:rPr>
          <w:rFonts w:hint="default" w:ascii="Calibri (Tekst podstawowy)" w:hAnsi="Calibri (Tekst podstawowy)" w:cs="Calibri (Tekst podstawowy)"/>
        </w:rPr>
      </w:pPr>
      <w:r>
        <w:rPr>
          <w:rFonts w:hint="default" w:ascii="Calibri (Tekst podstawowy)" w:hAnsi="Calibri (Tekst podstawowy)" w:cs="Calibri (Tekst podstawowy)"/>
        </w:rPr>
        <w:t>wysokość wynagrodzenia Wykonawcy w rozliczeniu okresowym ulegnie zmianie o wielkość średniorocznego wskaźnika cen towarów i usług konsumpcyjnych za rok poprzedni, a w przypadku likwidacji wskaźnika, o którym wyżej mowa lub zmiany podmiotu, który urzędowo go ustala, wskazany mechanizm stosuje się odpowiednio do wskaźnika i podmiotu, który zgodnie z odpowiednimi przepisami prawa zastąpi dotychczasowy Wskaźnik lub podmiot lub w przypadku, gdyby te wskaźniki przestały być dostępne, zastosowanie znajdą inne najbardziej zbliżone wskaźniki publikowane przez Prezesa Głównego Urzędu Statystycznego,</w:t>
      </w:r>
    </w:p>
    <w:p w14:paraId="0E37A1D6">
      <w:pPr>
        <w:numPr>
          <w:ilvl w:val="1"/>
          <w:numId w:val="7"/>
        </w:numPr>
        <w:tabs>
          <w:tab w:val="left" w:pos="1277"/>
        </w:tabs>
        <w:spacing w:line="360" w:lineRule="auto"/>
        <w:ind w:left="1134" w:hanging="284"/>
        <w:jc w:val="both"/>
        <w:rPr>
          <w:rFonts w:hint="default" w:ascii="Calibri (Tekst podstawowy)" w:hAnsi="Calibri (Tekst podstawowy)" w:cs="Calibri (Tekst podstawowy)"/>
        </w:rPr>
      </w:pPr>
      <w:r>
        <w:rPr>
          <w:rFonts w:hint="default" w:ascii="Calibri (Tekst podstawowy)" w:hAnsi="Calibri (Tekst podstawowy)" w:cs="Calibri (Tekst podstawowy)"/>
        </w:rPr>
        <w:t xml:space="preserve">z wnioskiem o dokonanie odpowiedniej zmiany wynagrodzenia może wystąpić każda ze stron. </w:t>
      </w:r>
    </w:p>
    <w:p w14:paraId="0D16168B">
      <w:pPr>
        <w:pStyle w:val="9"/>
        <w:tabs>
          <w:tab w:val="left" w:pos="459"/>
        </w:tabs>
        <w:spacing w:before="0" w:line="360" w:lineRule="auto"/>
        <w:ind w:left="785" w:leftChars="193" w:hangingChars="150"/>
        <w:rPr>
          <w:rFonts w:asciiTheme="minorHAnsi" w:hAnsiTheme="minorHAnsi" w:cstheme="minorHAnsi"/>
          <w:sz w:val="24"/>
          <w:szCs w:val="24"/>
        </w:rPr>
      </w:pPr>
    </w:p>
    <w:p w14:paraId="288016D5">
      <w:pPr>
        <w:pStyle w:val="9"/>
        <w:numPr>
          <w:ilvl w:val="1"/>
          <w:numId w:val="6"/>
        </w:numPr>
        <w:tabs>
          <w:tab w:val="left" w:pos="426"/>
        </w:tabs>
        <w:spacing w:before="0" w:line="360" w:lineRule="auto"/>
        <w:ind w:left="426" w:hanging="284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Zmiany niniejszej umowy mogą nastąpić na wniosek Operatora lub Organizatora, na podstawie aneksu do umowy w formie pisemnej pod rygorem nieważności.</w:t>
      </w:r>
    </w:p>
    <w:p w14:paraId="54F8BE59">
      <w:pPr>
        <w:pStyle w:val="9"/>
        <w:numPr>
          <w:ilvl w:val="1"/>
          <w:numId w:val="6"/>
        </w:numPr>
        <w:tabs>
          <w:tab w:val="left" w:pos="426"/>
        </w:tabs>
        <w:spacing w:before="0" w:line="360" w:lineRule="auto"/>
        <w:ind w:left="426" w:hanging="284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W przypadku   wystąpienia   okoliczności, o których mowa w ust. 1 pkt 2, a w szczególności </w:t>
      </w:r>
      <w:r>
        <w:rPr>
          <w:rFonts w:asciiTheme="minorHAnsi" w:hAnsiTheme="minorHAnsi" w:cstheme="minorHAnsi"/>
          <w:sz w:val="24"/>
          <w:szCs w:val="24"/>
        </w:rPr>
        <w:br w:type="textWrapping"/>
      </w:r>
      <w:r>
        <w:rPr>
          <w:rFonts w:asciiTheme="minorHAnsi" w:hAnsiTheme="minorHAnsi" w:cstheme="minorHAnsi"/>
          <w:sz w:val="24"/>
          <w:szCs w:val="24"/>
        </w:rPr>
        <w:t>w przypadku zmiany zasad odpłatności i zakresu zniżek lub uprawnień do przejazdów   bezpłatnych, lub wprowadzenia opłat za korzystanie z przystanków komunikacyjnych Operator zobowiązany jest każdorazowo do przedstawienia Organizatorowi szczegółowej kalkulacji zawierającej wyliczenie zmiany pomiędzy przychodami Operatora z biletów i kar                  w stosunku do przychodów po wystąpieniu okoliczności, o których mowa w ust. 1 pkt 2 niniejszego paragrafu.</w:t>
      </w:r>
    </w:p>
    <w:p w14:paraId="65AB356B">
      <w:pPr>
        <w:pStyle w:val="9"/>
        <w:tabs>
          <w:tab w:val="left" w:pos="822"/>
        </w:tabs>
        <w:spacing w:before="0" w:line="360" w:lineRule="auto"/>
        <w:ind w:left="816" w:hanging="357"/>
        <w:jc w:val="center"/>
        <w:rPr>
          <w:rFonts w:asciiTheme="minorHAnsi" w:hAnsiTheme="minorHAnsi" w:cstheme="minorHAnsi"/>
          <w:sz w:val="24"/>
          <w:szCs w:val="24"/>
        </w:rPr>
      </w:pPr>
      <w:bookmarkStart w:id="7" w:name="_Hlk97289716"/>
      <w:r>
        <w:rPr>
          <w:rFonts w:asciiTheme="minorHAnsi" w:hAnsiTheme="minorHAnsi" w:cstheme="minorHAnsi"/>
          <w:sz w:val="24"/>
          <w:szCs w:val="24"/>
        </w:rPr>
        <w:t>§ 10</w:t>
      </w:r>
    </w:p>
    <w:bookmarkEnd w:id="7"/>
    <w:p w14:paraId="742D48F2">
      <w:pPr>
        <w:pStyle w:val="9"/>
        <w:numPr>
          <w:ilvl w:val="0"/>
          <w:numId w:val="8"/>
        </w:numPr>
        <w:tabs>
          <w:tab w:val="left" w:pos="426"/>
        </w:tabs>
        <w:spacing w:before="0" w:line="360" w:lineRule="auto"/>
        <w:ind w:left="426" w:hanging="284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Operator zapłaci Organizatorowi kary umowne w przypadkach i w wysokości określonych poniżej:</w:t>
      </w:r>
    </w:p>
    <w:p w14:paraId="08546E85">
      <w:pPr>
        <w:pStyle w:val="9"/>
        <w:tabs>
          <w:tab w:val="left" w:pos="822"/>
        </w:tabs>
        <w:spacing w:before="0" w:line="360" w:lineRule="auto"/>
        <w:ind w:left="816" w:hanging="357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1)</w:t>
      </w: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 xml:space="preserve">za brak przyjazdu autobusu na danym kursie w wysokości 300,00 zł (trzysta złotych), </w:t>
      </w:r>
      <w:r>
        <w:rPr>
          <w:rFonts w:asciiTheme="minorHAnsi" w:hAnsiTheme="minorHAnsi" w:cstheme="minorHAnsi"/>
          <w:sz w:val="24"/>
          <w:szCs w:val="24"/>
        </w:rPr>
        <w:br w:type="textWrapping"/>
      </w:r>
      <w:r>
        <w:rPr>
          <w:rFonts w:asciiTheme="minorHAnsi" w:hAnsiTheme="minorHAnsi" w:cstheme="minorHAnsi"/>
          <w:sz w:val="24"/>
          <w:szCs w:val="24"/>
        </w:rPr>
        <w:t>za każdy stwierdzony taki przypadek,</w:t>
      </w:r>
    </w:p>
    <w:p w14:paraId="2A208882">
      <w:pPr>
        <w:pStyle w:val="9"/>
        <w:tabs>
          <w:tab w:val="left" w:pos="822"/>
        </w:tabs>
        <w:spacing w:before="0" w:line="360" w:lineRule="auto"/>
        <w:ind w:left="816" w:hanging="357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2)</w:t>
      </w: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>za nieuzasadnioną zwłokę powyżej 5 minut w stosunku do rozkładu jazdy w wysokości 150,00 zł (sto pięćdziesiąt złotych), za każdy stwierdzony taki przypadek,</w:t>
      </w:r>
    </w:p>
    <w:p w14:paraId="3D21B2CD">
      <w:pPr>
        <w:pStyle w:val="9"/>
        <w:tabs>
          <w:tab w:val="left" w:pos="822"/>
        </w:tabs>
        <w:spacing w:before="0" w:line="360" w:lineRule="auto"/>
        <w:ind w:left="816" w:hanging="357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3)</w:t>
      </w: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>za nieuzasadnione przyśpieszenie powyżej 2 minut w stosunku do rozkładu jazdy                                w wysokości 150,00 zł (sto pięćdziesiąt złotych), za każdy stwierdzony taki przypadek,</w:t>
      </w:r>
    </w:p>
    <w:p w14:paraId="50D53891">
      <w:pPr>
        <w:pStyle w:val="9"/>
        <w:tabs>
          <w:tab w:val="left" w:pos="822"/>
        </w:tabs>
        <w:spacing w:before="0" w:line="360" w:lineRule="auto"/>
        <w:ind w:left="816" w:hanging="357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4)</w:t>
      </w: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>za nieuzasadnione niezatrzymanie się na przystanku w wysokości 150,00 zł (sto pięćdziesiąt złotych), za każdy stwierdzony taki przypadek,</w:t>
      </w:r>
    </w:p>
    <w:p w14:paraId="1EE7E134">
      <w:pPr>
        <w:pStyle w:val="9"/>
        <w:tabs>
          <w:tab w:val="left" w:pos="822"/>
        </w:tabs>
        <w:spacing w:before="0" w:line="360" w:lineRule="auto"/>
        <w:ind w:left="816" w:hanging="357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5)</w:t>
      </w: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>za nieuzasadnioną zmianę trasy przejazdu w wysokości 150,00 zł (sto pięćdziesiąt złotych), za każdy stwierdzony taki przypadek,</w:t>
      </w:r>
    </w:p>
    <w:p w14:paraId="40B74927">
      <w:pPr>
        <w:pStyle w:val="9"/>
        <w:tabs>
          <w:tab w:val="left" w:pos="822"/>
        </w:tabs>
        <w:spacing w:before="0" w:line="360" w:lineRule="auto"/>
        <w:ind w:left="816" w:hanging="357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6)</w:t>
      </w: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 xml:space="preserve">za nieterminowe podstawienie pojazdu zastępczego w przypadku awarii pojazdu podstawowego (wyłączenia z ruchu) w wysokości 1.000,00 zł (jeden tysiąc) za każde </w:t>
      </w:r>
      <w:r>
        <w:rPr>
          <w:rFonts w:asciiTheme="minorHAnsi" w:hAnsiTheme="minorHAnsi" w:cstheme="minorHAnsi"/>
          <w:sz w:val="24"/>
          <w:szCs w:val="24"/>
          <w:highlight w:val="none"/>
        </w:rPr>
        <w:t xml:space="preserve">pierwsze i kolejne przekroczenie zadeklarowanego prze Operatora czasu na </w:t>
      </w:r>
      <w:r>
        <w:rPr>
          <w:rFonts w:asciiTheme="minorHAnsi" w:hAnsiTheme="minorHAnsi" w:cstheme="minorHAnsi"/>
          <w:b/>
          <w:bCs/>
          <w:sz w:val="24"/>
          <w:szCs w:val="24"/>
          <w:highlight w:val="none"/>
        </w:rPr>
        <w:t>podstawienie pojazdu zastępczego</w:t>
      </w:r>
      <w:r>
        <w:rPr>
          <w:rFonts w:asciiTheme="minorHAnsi" w:hAnsiTheme="minorHAnsi" w:cstheme="minorHAnsi"/>
          <w:sz w:val="24"/>
          <w:szCs w:val="24"/>
          <w:highlight w:val="none"/>
        </w:rPr>
        <w:t>, o którym mowa w</w:t>
      </w:r>
      <w:r>
        <w:rPr>
          <w:rFonts w:asciiTheme="minorHAnsi" w:hAnsiTheme="minorHAnsi" w:cstheme="minorHAnsi"/>
          <w:b/>
          <w:bCs/>
          <w:sz w:val="24"/>
          <w:szCs w:val="24"/>
          <w:highlight w:val="none"/>
        </w:rPr>
        <w:t xml:space="preserve"> § 2 ust. 2 pkt. 1</w:t>
      </w:r>
      <w:r>
        <w:rPr>
          <w:rFonts w:hint="default" w:asciiTheme="minorHAnsi" w:hAnsiTheme="minorHAnsi" w:cstheme="minorHAnsi"/>
          <w:b/>
          <w:bCs/>
          <w:sz w:val="24"/>
          <w:szCs w:val="24"/>
          <w:highlight w:val="none"/>
          <w:lang w:val="pl-PL"/>
        </w:rPr>
        <w:t>3</w:t>
      </w:r>
      <w:r>
        <w:rPr>
          <w:rFonts w:asciiTheme="minorHAnsi" w:hAnsiTheme="minorHAnsi" w:cstheme="minorHAnsi"/>
          <w:b/>
          <w:bCs/>
          <w:sz w:val="24"/>
          <w:szCs w:val="24"/>
          <w:highlight w:val="none"/>
        </w:rPr>
        <w:t xml:space="preserve"> niniejszej umowy,</w:t>
      </w:r>
    </w:p>
    <w:p w14:paraId="527E3F06">
      <w:pPr>
        <w:pStyle w:val="9"/>
        <w:tabs>
          <w:tab w:val="left" w:pos="822"/>
        </w:tabs>
        <w:spacing w:before="0" w:line="360" w:lineRule="auto"/>
        <w:ind w:left="816" w:hanging="357"/>
        <w:rPr>
          <w:rFonts w:asciiTheme="minorHAnsi" w:hAnsiTheme="minorHAnsi" w:cstheme="minorHAnsi"/>
          <w:sz w:val="24"/>
          <w:szCs w:val="24"/>
          <w:highlight w:val="none"/>
        </w:rPr>
      </w:pPr>
      <w:r>
        <w:rPr>
          <w:rFonts w:asciiTheme="minorHAnsi" w:hAnsiTheme="minorHAnsi" w:cstheme="minorHAnsi"/>
          <w:sz w:val="24"/>
          <w:szCs w:val="24"/>
          <w:highlight w:val="none"/>
        </w:rPr>
        <w:t>7)</w:t>
      </w:r>
      <w:r>
        <w:rPr>
          <w:rFonts w:asciiTheme="minorHAnsi" w:hAnsiTheme="minorHAnsi" w:cstheme="minorHAnsi"/>
          <w:sz w:val="24"/>
          <w:szCs w:val="24"/>
          <w:highlight w:val="none"/>
        </w:rPr>
        <w:tab/>
      </w:r>
      <w:r>
        <w:rPr>
          <w:rFonts w:asciiTheme="minorHAnsi" w:hAnsiTheme="minorHAnsi" w:cstheme="minorHAnsi"/>
          <w:sz w:val="24"/>
          <w:szCs w:val="24"/>
          <w:highlight w:val="none"/>
        </w:rPr>
        <w:tab/>
      </w:r>
      <w:r>
        <w:rPr>
          <w:rFonts w:asciiTheme="minorHAnsi" w:hAnsiTheme="minorHAnsi" w:cstheme="minorHAnsi"/>
          <w:sz w:val="24"/>
          <w:szCs w:val="24"/>
          <w:highlight w:val="none"/>
        </w:rPr>
        <w:t>za każdy stwierdzony podczas kontroli brak rozkładu jazdy na przystanku oraz brak informacji określonych w §2 ust.2 pkt. 6 niniejszej umowy, w wysokości 50,00 zł (pięćdziesiąt złotych),</w:t>
      </w:r>
    </w:p>
    <w:p w14:paraId="5044AB8F">
      <w:pPr>
        <w:pStyle w:val="9"/>
        <w:tabs>
          <w:tab w:val="left" w:pos="822"/>
        </w:tabs>
        <w:spacing w:before="0" w:line="360" w:lineRule="auto"/>
        <w:ind w:left="816" w:hanging="357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8)</w:t>
      </w: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>za każde stwierdzone podczas kontroli i potwierdzone protokołem nie wykonanie czynności   związanych   z   utrzymaniem   należytej   dbałości   o   zewnętrzny                                  i wewnętrzny wygląd autobusów oraz zapewnienia ich czystości i właściwego stanu technicznego, w wysokości 200,00zł (dwieście złotych),</w:t>
      </w:r>
    </w:p>
    <w:p w14:paraId="757679BE">
      <w:pPr>
        <w:pStyle w:val="9"/>
        <w:tabs>
          <w:tab w:val="left" w:pos="822"/>
        </w:tabs>
        <w:spacing w:before="0" w:line="360" w:lineRule="auto"/>
        <w:ind w:left="816" w:hanging="357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9) za każdy przypadek ujawnienia przypadku niespełnienia wymogu zatrudnienia przez Wykonawcę lub podwykonawcę na podstawie umowy o pracę osób wykonujących czynności wymienione w § 11 w trakcie realizacji zamówienia,  w wysokości 1 000,00 zł (jeden tysiąc),</w:t>
      </w:r>
    </w:p>
    <w:p w14:paraId="5D296455">
      <w:pPr>
        <w:pStyle w:val="9"/>
        <w:tabs>
          <w:tab w:val="left" w:pos="822"/>
        </w:tabs>
        <w:spacing w:before="0" w:line="360" w:lineRule="auto"/>
        <w:ind w:left="816" w:hanging="357"/>
        <w:rPr>
          <w:rFonts w:asciiTheme="minorHAnsi" w:hAnsiTheme="minorHAnsi" w:cstheme="minorHAnsi"/>
          <w:sz w:val="24"/>
          <w:szCs w:val="24"/>
          <w:highlight w:val="none"/>
        </w:rPr>
      </w:pPr>
      <w:r>
        <w:rPr>
          <w:rFonts w:asciiTheme="minorHAnsi" w:hAnsiTheme="minorHAnsi" w:cstheme="minorHAnsi"/>
          <w:sz w:val="24"/>
          <w:szCs w:val="24"/>
          <w:highlight w:val="none"/>
        </w:rPr>
        <w:t>10) za zwłokę w dostarczeniu dokumentów, o których mowa w § 2 ust. 2 pkt 3 oraz  § 11             niniejszej umowy – w wysokości 100,00 zł (sto złotych) za każdy dzień zwłoki.</w:t>
      </w:r>
    </w:p>
    <w:p w14:paraId="4BC39007">
      <w:pPr>
        <w:pStyle w:val="9"/>
        <w:tabs>
          <w:tab w:val="left" w:pos="822"/>
        </w:tabs>
        <w:spacing w:before="0" w:line="360" w:lineRule="auto"/>
        <w:ind w:left="816" w:hanging="357"/>
        <w:rPr>
          <w:rFonts w:asciiTheme="minorHAnsi" w:hAnsiTheme="minorHAnsi" w:cstheme="minorHAnsi"/>
          <w:sz w:val="24"/>
          <w:szCs w:val="24"/>
          <w:highlight w:val="none"/>
        </w:rPr>
      </w:pPr>
      <w:r>
        <w:rPr>
          <w:rFonts w:hint="default" w:asciiTheme="minorHAnsi" w:hAnsiTheme="minorHAnsi" w:cstheme="minorHAnsi"/>
          <w:sz w:val="24"/>
          <w:szCs w:val="24"/>
          <w:highlight w:val="none"/>
          <w:lang w:val="pl-PL"/>
        </w:rPr>
        <w:t xml:space="preserve">11) </w:t>
      </w:r>
      <w:r>
        <w:rPr>
          <w:rFonts w:asciiTheme="minorHAnsi" w:hAnsiTheme="minorHAnsi" w:cstheme="minorHAnsi"/>
          <w:sz w:val="24"/>
          <w:szCs w:val="24"/>
          <w:highlight w:val="none"/>
        </w:rPr>
        <w:t>z tytułu braku zapłaty lub nieterminowej zapłaty wynagrodzenia należnego podwykonawcy  z tytułu zmiany wysokości wynagrodzenia, o której mowa w art. 439 ust. 5 ustawy Pzp - w wysokości 0,2% wynagrodzenia brutto przewidzianego w umowie o podwykonawstwo - za każdy dzień zwłoki, licząc od następnego dnia po upływie wymagalnego terminu zapłaty. Dotyczy zawartej umowy, której przedmiotem są usługi i okres obowiązywania tej umowy przekracza 6 miesięcy.</w:t>
      </w:r>
    </w:p>
    <w:p w14:paraId="17FB09E4">
      <w:pPr>
        <w:pStyle w:val="9"/>
        <w:numPr>
          <w:ilvl w:val="0"/>
          <w:numId w:val="8"/>
        </w:numPr>
        <w:tabs>
          <w:tab w:val="left" w:pos="426"/>
        </w:tabs>
        <w:spacing w:before="0" w:line="360" w:lineRule="auto"/>
        <w:ind w:left="426" w:hanging="284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Zapisy ust. 1 pkt. 1), 2) i 3) nie obejmują przewozów niewykonanych, zwłoki lub przyspieszenia spowodowanych działaniem sił wyższych lub innych niezależnych od Operatora.</w:t>
      </w:r>
    </w:p>
    <w:p w14:paraId="14B730B8">
      <w:pPr>
        <w:pStyle w:val="9"/>
        <w:numPr>
          <w:ilvl w:val="0"/>
          <w:numId w:val="8"/>
        </w:numPr>
        <w:tabs>
          <w:tab w:val="left" w:pos="426"/>
        </w:tabs>
        <w:spacing w:before="0" w:line="360" w:lineRule="auto"/>
        <w:ind w:left="426" w:hanging="284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W przypadku stwierdzenia nie wykonania czynności określonych umową, wynikających                          z protokołu kontroli, Organizator ma prawo przeprowadzić kolejne kontrole i nakładać kolejne kary, w wysokości określonej powyżej, do czasu wykonania tych czynności.</w:t>
      </w:r>
    </w:p>
    <w:p w14:paraId="52D4C1DC">
      <w:pPr>
        <w:pStyle w:val="9"/>
        <w:numPr>
          <w:ilvl w:val="0"/>
          <w:numId w:val="8"/>
        </w:numPr>
        <w:tabs>
          <w:tab w:val="left" w:pos="426"/>
        </w:tabs>
        <w:spacing w:before="0" w:line="360" w:lineRule="auto"/>
        <w:ind w:left="426" w:hanging="284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Kary naliczone Operatorowi z różnych tytułów podlegają sumowaniu.</w:t>
      </w:r>
    </w:p>
    <w:p w14:paraId="471DE58B">
      <w:pPr>
        <w:pStyle w:val="9"/>
        <w:numPr>
          <w:ilvl w:val="0"/>
          <w:numId w:val="8"/>
        </w:numPr>
        <w:tabs>
          <w:tab w:val="left" w:pos="426"/>
        </w:tabs>
        <w:spacing w:before="0" w:line="360" w:lineRule="auto"/>
        <w:ind w:left="426" w:hanging="284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Operator zapłaci Organizatorowi kary umowne z tytułu odstąpienia od umowy lub rozwiązania umowy przez Organizatora z przyczyn leżących po stronie Operatora w wysokości 10% kwoty określonej w § 7 ust. 7</w:t>
      </w:r>
      <w:r>
        <w:rPr>
          <w:rFonts w:hint="default" w:asciiTheme="minorHAnsi" w:hAnsiTheme="minorHAnsi" w:cstheme="minorHAnsi"/>
          <w:sz w:val="24"/>
          <w:szCs w:val="24"/>
          <w:lang w:val="pl-PL"/>
        </w:rPr>
        <w:t>.</w:t>
      </w:r>
    </w:p>
    <w:p w14:paraId="60FBF06B">
      <w:pPr>
        <w:pStyle w:val="9"/>
        <w:numPr>
          <w:ilvl w:val="0"/>
          <w:numId w:val="8"/>
        </w:numPr>
        <w:tabs>
          <w:tab w:val="left" w:pos="426"/>
        </w:tabs>
        <w:spacing w:before="0" w:line="360" w:lineRule="auto"/>
        <w:ind w:left="426" w:hanging="284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Organizator zapłaci Operatorowi kary umowne z tytułu odstąpienia od umowy lub rozwiązania umowy przez Operatora z przyczyn leżących po stronie Organizatora w wysokości 10% kwoty określonej w § 7 ust. 7</w:t>
      </w:r>
      <w:r>
        <w:rPr>
          <w:rFonts w:hint="default" w:asciiTheme="minorHAnsi" w:hAnsiTheme="minorHAnsi" w:cstheme="minorHAnsi"/>
          <w:sz w:val="24"/>
          <w:szCs w:val="24"/>
          <w:highlight w:val="none"/>
          <w:lang w:val="pl-PL"/>
        </w:rPr>
        <w:t>.</w:t>
      </w:r>
    </w:p>
    <w:p w14:paraId="3C431A6E">
      <w:pPr>
        <w:pStyle w:val="9"/>
        <w:numPr>
          <w:ilvl w:val="0"/>
          <w:numId w:val="8"/>
        </w:numPr>
        <w:tabs>
          <w:tab w:val="left" w:pos="426"/>
        </w:tabs>
        <w:spacing w:before="0" w:line="360" w:lineRule="auto"/>
        <w:ind w:left="426" w:hanging="284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Jeżeli kara umowna nie pokrywa poniesionej szkody, Strony zastrzegają możliwość dochodzenia odszkodowania uzupełniającego na zasadach ogólnych.</w:t>
      </w:r>
    </w:p>
    <w:p w14:paraId="7559B477">
      <w:pPr>
        <w:pStyle w:val="9"/>
        <w:numPr>
          <w:ilvl w:val="0"/>
          <w:numId w:val="8"/>
        </w:numPr>
        <w:tabs>
          <w:tab w:val="left" w:pos="426"/>
        </w:tabs>
        <w:spacing w:before="0" w:line="360" w:lineRule="auto"/>
        <w:ind w:left="426" w:hanging="284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Organizatorowi przysługuje prawo dochodzenia odszkodowania przekraczającego wysokość kar umownych.</w:t>
      </w:r>
    </w:p>
    <w:p w14:paraId="0D6D3684">
      <w:pPr>
        <w:pStyle w:val="9"/>
        <w:numPr>
          <w:ilvl w:val="0"/>
          <w:numId w:val="8"/>
        </w:numPr>
        <w:tabs>
          <w:tab w:val="left" w:pos="426"/>
        </w:tabs>
        <w:spacing w:before="0" w:line="360" w:lineRule="auto"/>
        <w:ind w:left="426" w:hanging="284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Organizatorowi przysługuje prawo potrącania kar umownych z wynagrodzenia należnego Operatorowi. </w:t>
      </w:r>
    </w:p>
    <w:p w14:paraId="31D10E0A">
      <w:pPr>
        <w:tabs>
          <w:tab w:val="left" w:pos="426"/>
        </w:tabs>
        <w:spacing w:line="360" w:lineRule="auto"/>
        <w:ind w:left="142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10. Organizator informuje, iż łączna maksymalna wartość kar umownych nie przekroczy 20% wartości umowy.</w:t>
      </w:r>
    </w:p>
    <w:p w14:paraId="40E0937D">
      <w:pPr>
        <w:pStyle w:val="9"/>
        <w:tabs>
          <w:tab w:val="left" w:pos="822"/>
        </w:tabs>
        <w:spacing w:before="0" w:line="360" w:lineRule="auto"/>
        <w:ind w:left="816" w:hanging="357"/>
        <w:jc w:val="center"/>
        <w:rPr>
          <w:rFonts w:asciiTheme="minorHAnsi" w:hAnsiTheme="minorHAnsi" w:cstheme="minorHAnsi"/>
          <w:sz w:val="24"/>
          <w:szCs w:val="24"/>
        </w:rPr>
      </w:pPr>
    </w:p>
    <w:p w14:paraId="3C14764A">
      <w:pPr>
        <w:pStyle w:val="9"/>
        <w:tabs>
          <w:tab w:val="left" w:pos="822"/>
        </w:tabs>
        <w:spacing w:before="0" w:line="360" w:lineRule="auto"/>
        <w:ind w:left="816" w:hanging="357"/>
        <w:jc w:val="center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§ 11</w:t>
      </w:r>
    </w:p>
    <w:p w14:paraId="780ADADB">
      <w:pPr>
        <w:pStyle w:val="7"/>
        <w:numPr>
          <w:ilvl w:val="0"/>
          <w:numId w:val="9"/>
        </w:numPr>
        <w:spacing w:line="360" w:lineRule="auto"/>
        <w:ind w:left="284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Organizator wymaga, aby w ramach realizacji umowy czynności polegające na </w:t>
      </w:r>
      <w:r>
        <w:rPr>
          <w:rFonts w:asciiTheme="minorHAnsi" w:hAnsiTheme="minorHAnsi" w:cstheme="minorHAnsi"/>
          <w:b/>
          <w:bCs/>
          <w:sz w:val="24"/>
          <w:szCs w:val="24"/>
        </w:rPr>
        <w:t>kierowaniu pojazdami</w:t>
      </w:r>
      <w:r>
        <w:rPr>
          <w:rFonts w:asciiTheme="minorHAnsi" w:hAnsiTheme="minorHAnsi" w:cstheme="minorHAnsi"/>
          <w:sz w:val="24"/>
          <w:szCs w:val="24"/>
        </w:rPr>
        <w:t xml:space="preserve"> były wykonane przez osoby zatrudnione na umowę o pracę. </w:t>
      </w:r>
    </w:p>
    <w:p w14:paraId="537B0BED">
      <w:pPr>
        <w:pStyle w:val="7"/>
        <w:numPr>
          <w:ilvl w:val="0"/>
          <w:numId w:val="9"/>
        </w:numPr>
        <w:spacing w:line="360" w:lineRule="auto"/>
        <w:ind w:left="284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Przed podpisaniem umowy Operator dostarczy Organizatorowi oświadczenie o zatrudnieniu osób na podstawie umowy o pracę w zakresie czynności opisanych w ust.1.</w:t>
      </w:r>
    </w:p>
    <w:p w14:paraId="3285736B">
      <w:pPr>
        <w:pStyle w:val="7"/>
        <w:numPr>
          <w:ilvl w:val="0"/>
          <w:numId w:val="9"/>
        </w:numPr>
        <w:spacing w:line="360" w:lineRule="auto"/>
        <w:ind w:left="284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Niedostarczenie wymaganego oświadczenia skutkuje zakazem wykonywania czynności opisanych w ust.1. z przyczyn leżących po stronie Operatora i nie będzie stanowiło podstawy do zmiany terminu świadczenia usługi.</w:t>
      </w:r>
    </w:p>
    <w:p w14:paraId="44A98E10">
      <w:pPr>
        <w:pStyle w:val="7"/>
        <w:numPr>
          <w:ilvl w:val="0"/>
          <w:numId w:val="9"/>
        </w:numPr>
        <w:spacing w:line="360" w:lineRule="auto"/>
        <w:ind w:left="284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W trakcie realizacji zamówienia Organizator uprawniony jest do wykonywania czynności kontrolnych wobec Operatora odnośnie spełniania przez Operatora lub podwykonawcę (dalej także dalszego podwykonawcę) wymogu zatrudnienia na podstawie umowy o pracę osób wykonujących wskazane w ust. 1 czynności. Zamawiający uprawniony jest w szczególności do:</w:t>
      </w:r>
    </w:p>
    <w:p w14:paraId="37BBCC83">
      <w:pPr>
        <w:pStyle w:val="10"/>
        <w:widowControl w:val="0"/>
        <w:numPr>
          <w:ilvl w:val="1"/>
          <w:numId w:val="10"/>
        </w:numPr>
        <w:spacing w:line="360" w:lineRule="auto"/>
        <w:ind w:left="1134" w:hanging="425"/>
        <w:jc w:val="both"/>
        <w:textAlignment w:val="baseline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żądania oświadczeń i dokumentów w zakresie potwierdzenia spełniania wymogów i dokonywania ich oceny,</w:t>
      </w:r>
    </w:p>
    <w:p w14:paraId="3AA1891E">
      <w:pPr>
        <w:pStyle w:val="10"/>
        <w:widowControl w:val="0"/>
        <w:numPr>
          <w:ilvl w:val="1"/>
          <w:numId w:val="10"/>
        </w:numPr>
        <w:spacing w:line="360" w:lineRule="auto"/>
        <w:ind w:left="1134" w:hanging="425"/>
        <w:jc w:val="both"/>
        <w:textAlignment w:val="baseline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żądania wyjaśnień w przypadku wątpliwości w zakresie potwierdzenia spełniania wymogów,</w:t>
      </w:r>
    </w:p>
    <w:p w14:paraId="62162155">
      <w:pPr>
        <w:pStyle w:val="10"/>
        <w:widowControl w:val="0"/>
        <w:numPr>
          <w:ilvl w:val="1"/>
          <w:numId w:val="10"/>
        </w:numPr>
        <w:spacing w:line="360" w:lineRule="auto"/>
        <w:ind w:left="1134" w:hanging="425"/>
        <w:jc w:val="both"/>
        <w:textAlignment w:val="baseline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przeprowadzania kontroli na miejscu wykonywania świadczenia,</w:t>
      </w:r>
    </w:p>
    <w:p w14:paraId="0609A721">
      <w:pPr>
        <w:pStyle w:val="10"/>
        <w:widowControl w:val="0"/>
        <w:numPr>
          <w:ilvl w:val="1"/>
          <w:numId w:val="10"/>
        </w:numPr>
        <w:spacing w:line="360" w:lineRule="auto"/>
        <w:ind w:left="1134" w:hanging="425"/>
        <w:jc w:val="both"/>
        <w:textAlignment w:val="baseline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zwrócenie się do Państwowej Inspekcji Pracy o przeprowadzenie u Operatora lub podwykonawcy kontroli.</w:t>
      </w:r>
    </w:p>
    <w:p w14:paraId="3B5D4A05">
      <w:pPr>
        <w:pStyle w:val="10"/>
        <w:numPr>
          <w:ilvl w:val="0"/>
          <w:numId w:val="9"/>
        </w:numPr>
        <w:spacing w:line="360" w:lineRule="auto"/>
        <w:ind w:left="284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W trakcie realizacji zamówienia na każde wezwanie Organizatora w wyznaczonym terminie nie krótszym niż 3 dni Operator przedłoży Organizatorowi wskazane poniżej dowody w celu potwierdzenia spełnienia wymogu zatrudnienia na podstawie umowy o pracę przez Operatora osób wykonujących wskazane w ust. 1 czynności w trakcie realizacji zamówienia:</w:t>
      </w:r>
    </w:p>
    <w:p w14:paraId="04ED8207">
      <w:pPr>
        <w:pStyle w:val="10"/>
        <w:numPr>
          <w:ilvl w:val="1"/>
          <w:numId w:val="11"/>
        </w:numPr>
        <w:spacing w:line="360" w:lineRule="auto"/>
        <w:ind w:left="709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oświadczenie zatrudnionego pracownika; </w:t>
      </w:r>
    </w:p>
    <w:p w14:paraId="26A202B6">
      <w:pPr>
        <w:pStyle w:val="10"/>
        <w:numPr>
          <w:ilvl w:val="1"/>
          <w:numId w:val="11"/>
        </w:numPr>
        <w:spacing w:line="360" w:lineRule="auto"/>
        <w:ind w:left="709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oświadczenie Operatora o zatrudnieniu na podstawie umowy o pracę osób wykonujących czynności, których dotyczy wezwanie Organizatora. Oświadczenie to powinno zawierać                     w szczególności: dokładne określenie podmiotu składającego oświadczenie, datę złożenia oświadczenia, wskazanie, że objęte wezwaniem czynności wykonują osoby zatrudnione na podstawie umowy o pracę wraz ze wskazaniem liczby tych osób, rodzaju umowy            o pracę i wymiaru etatu oraz podpis osoby uprawnionej do złożenia oświadczenia;</w:t>
      </w:r>
    </w:p>
    <w:p w14:paraId="304ED47D">
      <w:pPr>
        <w:pStyle w:val="10"/>
        <w:numPr>
          <w:ilvl w:val="1"/>
          <w:numId w:val="11"/>
        </w:numPr>
        <w:spacing w:line="360" w:lineRule="auto"/>
        <w:ind w:left="709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poświadczoną za zgodność z oryginałem odpowiednio przez Operatora kopię umowy/umów o pracę osób wykonujących w trakcie realizacji zamówienia czynności, których dotyczy oświadczenie Operatora (wraz z dokumentem regulującym zakres obowiązków, jeżeli został sporządzony). Kopia umowy/umów powinna zostać zanonimizowana w sposób zapewniający ochronę danych osobowych pracowników, zgodnie z przepisami ustawy o ochronie danych osobowych (tj. w szczególności bez adresów, nr PESEL pracowników). Informacje takie jak: imię i nazwisko, data zawarcia umowy, rodzaj umowy o pracę i wymiar etatu powinny być możliwe do zidentyfikowania;</w:t>
      </w:r>
    </w:p>
    <w:p w14:paraId="5B3A871D">
      <w:pPr>
        <w:pStyle w:val="10"/>
        <w:numPr>
          <w:ilvl w:val="1"/>
          <w:numId w:val="11"/>
        </w:numPr>
        <w:spacing w:line="360" w:lineRule="auto"/>
        <w:ind w:left="709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zaświadczenie właściwego oddziału ZUS, potwierdzające opłacanie przez Operatora składek na ubezpieczenia społeczne i zdrowotne z tytułu zatrudnienia na podstawie umów  o pracę za ostatni okres rozliczeniowy;</w:t>
      </w:r>
    </w:p>
    <w:p w14:paraId="6F5E5D37">
      <w:pPr>
        <w:pStyle w:val="10"/>
        <w:numPr>
          <w:ilvl w:val="1"/>
          <w:numId w:val="11"/>
        </w:numPr>
        <w:spacing w:line="360" w:lineRule="auto"/>
        <w:ind w:left="709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poświadczoną za zgodność z oryginałem odpowiednio przez Operatora kopię dowodu potwierdzającego zgłoszenie pracownika przez pracodawcę do ubezpieczeń, zanonimizowaną w sposób zapewniający ochronę danych osobowych pracowników, zgodnie z przepisami ustawy o ochronie danych osobowych.</w:t>
      </w:r>
    </w:p>
    <w:p w14:paraId="122B0696">
      <w:pPr>
        <w:pStyle w:val="9"/>
        <w:tabs>
          <w:tab w:val="left" w:pos="822"/>
        </w:tabs>
        <w:spacing w:line="360" w:lineRule="auto"/>
        <w:ind w:left="720" w:firstLine="0"/>
        <w:jc w:val="center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§ 12</w:t>
      </w:r>
    </w:p>
    <w:p w14:paraId="17A868DC">
      <w:pPr>
        <w:widowControl/>
        <w:numPr>
          <w:ilvl w:val="0"/>
          <w:numId w:val="12"/>
        </w:numPr>
        <w:autoSpaceDE/>
        <w:autoSpaceDN/>
        <w:spacing w:line="360" w:lineRule="auto"/>
        <w:jc w:val="both"/>
        <w:rPr>
          <w:rFonts w:asciiTheme="minorHAnsi" w:hAnsiTheme="minorHAnsi" w:eastAsiaTheme="minorHAnsi" w:cstheme="minorHAnsi"/>
          <w:sz w:val="24"/>
          <w:szCs w:val="24"/>
          <w:lang w:bidi="ar-SA"/>
        </w:rPr>
      </w:pPr>
      <w:r>
        <w:rPr>
          <w:rFonts w:asciiTheme="minorHAnsi" w:hAnsiTheme="minorHAnsi" w:cstheme="minorHAnsi"/>
          <w:sz w:val="24"/>
          <w:szCs w:val="24"/>
        </w:rPr>
        <w:t>Operator zobowiązuje się do:</w:t>
      </w:r>
    </w:p>
    <w:p w14:paraId="32CB7486">
      <w:pPr>
        <w:widowControl/>
        <w:numPr>
          <w:ilvl w:val="1"/>
          <w:numId w:val="12"/>
        </w:numPr>
        <w:tabs>
          <w:tab w:val="left" w:pos="851"/>
        </w:tabs>
        <w:autoSpaceDE/>
        <w:autoSpaceDN/>
        <w:spacing w:line="360" w:lineRule="auto"/>
        <w:ind w:left="851" w:hanging="425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wypełniania obowiązków przewidzianych w art. 13 lub art. 14 Rozporządzenia Parlamentu Europejskiego i Rady (UE) 2016/679 z dnia 27.04.2016 r. w sprawie ochrony osób fizycznych w związku z przetwarzaniem danych osobowych i w sprawie swobodnego przepływu takich danych oraz uchylenia dyrektywy 95/46/WE (ogólne rozporządzenie o ochronie danych) (Dz. Urz. UE L z 04.05.2016 r., Nr 119, s. 1), zwanego dalej w skrócie </w:t>
      </w:r>
      <w:r>
        <w:rPr>
          <w:rFonts w:asciiTheme="minorHAnsi" w:hAnsiTheme="minorHAnsi" w:cstheme="minorHAnsi"/>
          <w:b/>
          <w:sz w:val="24"/>
          <w:szCs w:val="24"/>
        </w:rPr>
        <w:t>„RODO”</w:t>
      </w:r>
      <w:r>
        <w:rPr>
          <w:rFonts w:asciiTheme="minorHAnsi" w:hAnsiTheme="minorHAnsi" w:cstheme="minorHAnsi"/>
          <w:sz w:val="24"/>
          <w:szCs w:val="24"/>
        </w:rPr>
        <w:t xml:space="preserve"> wobec osób fizycznych, od których dane osobowe bezpośrednio lub pośrednio zostały pozyskane w związku z realizacją umowy. </w:t>
      </w:r>
    </w:p>
    <w:p w14:paraId="4241FFC9">
      <w:pPr>
        <w:widowControl/>
        <w:numPr>
          <w:ilvl w:val="1"/>
          <w:numId w:val="12"/>
        </w:numPr>
        <w:tabs>
          <w:tab w:val="left" w:pos="851"/>
        </w:tabs>
        <w:autoSpaceDE/>
        <w:autoSpaceDN/>
        <w:spacing w:line="360" w:lineRule="auto"/>
        <w:ind w:left="851" w:hanging="425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do przestrzegania przepisów ustawy z dnia 10 maja 2018 roku o ochronie danych osobowych (Dz.U. z 2019 r. poz. 1781).</w:t>
      </w:r>
    </w:p>
    <w:p w14:paraId="78FEAA51">
      <w:pPr>
        <w:widowControl/>
        <w:numPr>
          <w:ilvl w:val="0"/>
          <w:numId w:val="12"/>
        </w:numPr>
        <w:autoSpaceDE/>
        <w:autoSpaceDN/>
        <w:spacing w:line="360" w:lineRule="auto"/>
        <w:contextualSpacing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Wykonawca w szczególności oświadcza, że:</w:t>
      </w:r>
    </w:p>
    <w:p w14:paraId="5CD8DFA2">
      <w:pPr>
        <w:widowControl/>
        <w:numPr>
          <w:ilvl w:val="1"/>
          <w:numId w:val="13"/>
        </w:numPr>
        <w:tabs>
          <w:tab w:val="left" w:pos="851"/>
        </w:tabs>
        <w:autoSpaceDE/>
        <w:autoSpaceDN/>
        <w:spacing w:line="360" w:lineRule="auto"/>
        <w:ind w:left="851" w:hanging="425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znane są mu wszelkie obowiązki wynikające z obowiązujących przepisów o ochronie danych osobowych mające zastosowanie oraz RODO,</w:t>
      </w:r>
    </w:p>
    <w:p w14:paraId="07082D96">
      <w:pPr>
        <w:widowControl/>
        <w:numPr>
          <w:ilvl w:val="1"/>
          <w:numId w:val="13"/>
        </w:numPr>
        <w:tabs>
          <w:tab w:val="left" w:pos="851"/>
        </w:tabs>
        <w:autoSpaceDE/>
        <w:autoSpaceDN/>
        <w:spacing w:line="360" w:lineRule="auto"/>
        <w:ind w:left="851" w:hanging="425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zapewni wystarczające gwarancje wdrożenia odpowiednich środków technicznych i organizacyjnych, aby przetwarzanie danych osobowych spełniało wymogi wynikające z obowiązujących przepisów o ochronie danych osobowych oraz RODO mających zastosowanie i chroniło prawa osób, których dane dotyczą,</w:t>
      </w:r>
    </w:p>
    <w:p w14:paraId="5FC97DE6">
      <w:pPr>
        <w:widowControl/>
        <w:numPr>
          <w:ilvl w:val="1"/>
          <w:numId w:val="13"/>
        </w:numPr>
        <w:tabs>
          <w:tab w:val="left" w:pos="851"/>
        </w:tabs>
        <w:autoSpaceDE/>
        <w:autoSpaceDN/>
        <w:spacing w:line="360" w:lineRule="auto"/>
        <w:ind w:left="851" w:hanging="425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w przypadku korzystania z podwykonawców zapewni aby zostały przez nich wdrożone odpowiednie środki techniczne i organizacyjne, aby przetwarzanie danych osobowych spełniało wymogi wynikające z obowiązujących przepisów o ochronie danych osobowych oraz RODO mających zastosowanie i chroniło prawa osób, których dane dotyczą.</w:t>
      </w:r>
    </w:p>
    <w:p w14:paraId="4FEFD96A">
      <w:pPr>
        <w:pStyle w:val="9"/>
        <w:tabs>
          <w:tab w:val="left" w:pos="822"/>
        </w:tabs>
        <w:spacing w:line="360" w:lineRule="auto"/>
        <w:ind w:left="816" w:hanging="357"/>
        <w:jc w:val="center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§ 13</w:t>
      </w:r>
    </w:p>
    <w:p w14:paraId="3F7490D3">
      <w:pPr>
        <w:pStyle w:val="9"/>
        <w:tabs>
          <w:tab w:val="left" w:pos="142"/>
        </w:tabs>
        <w:spacing w:before="0" w:line="360" w:lineRule="auto"/>
        <w:ind w:left="381" w:leftChars="64" w:hanging="240" w:hangingChars="100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>W sprawach nieuregulowanych postanowieniami umowy będą mieć zastosowanie                   w szczególności przepisy Kodeksu cywilnego, ustawy z dnia 15.11.1984 r. – Prawo przewozowe (t.j. Dz. U. z 2024 r., poz. 1262), ustawy z dnia 16 grudnia 2010 r.                               o publicznym transporcie zbiorowym (t.j. Dz.U. z 2023 r., poz. 2778 z późn. zm.) ustawy z dnia 11 września 2019 r. Prawo zamówień publicznych (tj. Dz.U. z 2024 r. poz. 1320 ) oraz akty wykonawcze do tych ustaw.</w:t>
      </w:r>
    </w:p>
    <w:p w14:paraId="75E4B5E8">
      <w:pPr>
        <w:pStyle w:val="9"/>
        <w:tabs>
          <w:tab w:val="left" w:pos="822"/>
        </w:tabs>
        <w:spacing w:before="0" w:line="360" w:lineRule="auto"/>
        <w:ind w:left="816" w:hanging="357"/>
        <w:jc w:val="center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§ 14</w:t>
      </w:r>
    </w:p>
    <w:p w14:paraId="62237B84">
      <w:pPr>
        <w:pStyle w:val="9"/>
        <w:numPr>
          <w:ilvl w:val="0"/>
          <w:numId w:val="14"/>
        </w:numPr>
        <w:tabs>
          <w:tab w:val="left" w:pos="426"/>
        </w:tabs>
        <w:spacing w:before="0" w:line="360" w:lineRule="auto"/>
        <w:ind w:left="426" w:hanging="284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Strony umowy deklarują wolę polubownego rozstrzygania spraw spornych, wynikających                      z bieżącej realizacji umowy, w drodze negocjacji.</w:t>
      </w:r>
    </w:p>
    <w:p w14:paraId="06466913">
      <w:pPr>
        <w:pStyle w:val="9"/>
        <w:numPr>
          <w:ilvl w:val="0"/>
          <w:numId w:val="14"/>
        </w:numPr>
        <w:tabs>
          <w:tab w:val="left" w:pos="426"/>
        </w:tabs>
        <w:spacing w:before="0" w:line="360" w:lineRule="auto"/>
        <w:ind w:left="426" w:hanging="284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W razie braku możliwości zawarcia porozumienia, spory wynikłe z realizacji umowy rozstrzygane będą przez sąd powszechny miejscowo właściwy dla siedziby Organizatora.</w:t>
      </w:r>
    </w:p>
    <w:p w14:paraId="5639A384">
      <w:pPr>
        <w:pStyle w:val="9"/>
        <w:tabs>
          <w:tab w:val="left" w:pos="822"/>
        </w:tabs>
        <w:spacing w:before="0" w:line="360" w:lineRule="auto"/>
        <w:ind w:left="816" w:hanging="357"/>
        <w:jc w:val="center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§ 15</w:t>
      </w:r>
    </w:p>
    <w:p w14:paraId="7C42DFD5">
      <w:pPr>
        <w:tabs>
          <w:tab w:val="left" w:pos="822"/>
        </w:tabs>
        <w:spacing w:line="360" w:lineRule="auto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Umowę sporządzono w trzech jednobrzmiących egzemplarzach, 2 egz. dla Organizatora i 1 egz. dla Operatora.</w:t>
      </w:r>
    </w:p>
    <w:p w14:paraId="74AE84FB">
      <w:pPr>
        <w:tabs>
          <w:tab w:val="left" w:pos="822"/>
        </w:tabs>
        <w:spacing w:line="360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6630829F">
      <w:pPr>
        <w:tabs>
          <w:tab w:val="left" w:pos="822"/>
        </w:tabs>
        <w:spacing w:line="360" w:lineRule="auto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>OPERATOR</w:t>
      </w: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>ORGANIZATOR</w:t>
      </w:r>
    </w:p>
    <w:p w14:paraId="14674D18">
      <w:pPr>
        <w:tabs>
          <w:tab w:val="left" w:pos="822"/>
        </w:tabs>
        <w:spacing w:line="360" w:lineRule="auto"/>
        <w:rPr>
          <w:rFonts w:asciiTheme="minorHAnsi" w:hAnsiTheme="minorHAnsi" w:cstheme="minorHAnsi"/>
          <w:sz w:val="24"/>
          <w:szCs w:val="24"/>
        </w:rPr>
      </w:pPr>
      <w:bookmarkStart w:id="8" w:name="_Hlk97019698"/>
    </w:p>
    <w:p w14:paraId="021FC231">
      <w:pPr>
        <w:tabs>
          <w:tab w:val="left" w:pos="822"/>
        </w:tabs>
        <w:spacing w:line="360" w:lineRule="auto"/>
        <w:rPr>
          <w:rFonts w:ascii="Times New Roman" w:hAnsi="Times New Roman" w:cs="Times New Roman"/>
          <w:i/>
          <w:iCs/>
          <w:sz w:val="24"/>
        </w:rPr>
      </w:pPr>
    </w:p>
    <w:p w14:paraId="688C8759">
      <w:pPr>
        <w:tabs>
          <w:tab w:val="left" w:pos="822"/>
        </w:tabs>
        <w:spacing w:line="360" w:lineRule="auto"/>
        <w:rPr>
          <w:rFonts w:ascii="Times New Roman" w:hAnsi="Times New Roman" w:cs="Times New Roman"/>
          <w:i/>
          <w:iCs/>
          <w:sz w:val="24"/>
        </w:rPr>
      </w:pPr>
    </w:p>
    <w:p w14:paraId="34AB078B">
      <w:pPr>
        <w:tabs>
          <w:tab w:val="left" w:pos="822"/>
        </w:tabs>
        <w:spacing w:line="360" w:lineRule="auto"/>
        <w:rPr>
          <w:rFonts w:ascii="Times New Roman" w:hAnsi="Times New Roman" w:cs="Times New Roman"/>
          <w:i/>
          <w:iCs/>
          <w:sz w:val="24"/>
        </w:rPr>
      </w:pPr>
    </w:p>
    <w:p w14:paraId="6EDB0C8E">
      <w:pPr>
        <w:tabs>
          <w:tab w:val="left" w:pos="822"/>
        </w:tabs>
        <w:spacing w:line="360" w:lineRule="auto"/>
        <w:rPr>
          <w:rFonts w:ascii="Times New Roman" w:hAnsi="Times New Roman" w:cs="Times New Roman"/>
          <w:i/>
          <w:iCs/>
          <w:sz w:val="24"/>
        </w:rPr>
      </w:pPr>
    </w:p>
    <w:p w14:paraId="406083D6">
      <w:pPr>
        <w:tabs>
          <w:tab w:val="left" w:pos="822"/>
        </w:tabs>
        <w:spacing w:line="360" w:lineRule="auto"/>
        <w:rPr>
          <w:rFonts w:ascii="Times New Roman" w:hAnsi="Times New Roman" w:cs="Times New Roman"/>
          <w:i/>
          <w:iCs/>
          <w:sz w:val="24"/>
        </w:rPr>
      </w:pPr>
    </w:p>
    <w:p w14:paraId="4DBB00A4">
      <w:pPr>
        <w:tabs>
          <w:tab w:val="left" w:pos="822"/>
        </w:tabs>
        <w:spacing w:line="360" w:lineRule="auto"/>
        <w:rPr>
          <w:rFonts w:ascii="Times New Roman" w:hAnsi="Times New Roman" w:cs="Times New Roman"/>
          <w:i/>
          <w:iCs/>
          <w:sz w:val="24"/>
        </w:rPr>
      </w:pPr>
    </w:p>
    <w:p w14:paraId="1620E6A6">
      <w:pPr>
        <w:tabs>
          <w:tab w:val="left" w:pos="822"/>
        </w:tabs>
        <w:spacing w:line="360" w:lineRule="auto"/>
        <w:rPr>
          <w:rFonts w:ascii="Times New Roman" w:hAnsi="Times New Roman" w:cs="Times New Roman"/>
          <w:i/>
          <w:iCs/>
          <w:sz w:val="24"/>
        </w:rPr>
      </w:pPr>
    </w:p>
    <w:p w14:paraId="35B1C5C0">
      <w:pPr>
        <w:tabs>
          <w:tab w:val="left" w:pos="822"/>
        </w:tabs>
        <w:spacing w:line="360" w:lineRule="auto"/>
        <w:rPr>
          <w:rFonts w:ascii="Times New Roman" w:hAnsi="Times New Roman" w:cs="Times New Roman"/>
          <w:i/>
          <w:iCs/>
          <w:sz w:val="24"/>
        </w:rPr>
      </w:pPr>
    </w:p>
    <w:p w14:paraId="60C07D4E">
      <w:pPr>
        <w:tabs>
          <w:tab w:val="left" w:pos="822"/>
        </w:tabs>
        <w:spacing w:line="360" w:lineRule="auto"/>
        <w:rPr>
          <w:rFonts w:ascii="Times New Roman" w:hAnsi="Times New Roman" w:cs="Times New Roman"/>
          <w:i/>
          <w:iCs/>
          <w:sz w:val="24"/>
        </w:rPr>
      </w:pPr>
    </w:p>
    <w:p w14:paraId="03BCC293">
      <w:pPr>
        <w:tabs>
          <w:tab w:val="left" w:pos="822"/>
        </w:tabs>
        <w:spacing w:line="360" w:lineRule="auto"/>
        <w:rPr>
          <w:rFonts w:ascii="Times New Roman" w:hAnsi="Times New Roman" w:cs="Times New Roman"/>
          <w:i/>
          <w:iCs/>
          <w:sz w:val="24"/>
        </w:rPr>
      </w:pPr>
    </w:p>
    <w:p w14:paraId="5A054558">
      <w:pPr>
        <w:tabs>
          <w:tab w:val="left" w:pos="822"/>
        </w:tabs>
        <w:spacing w:line="360" w:lineRule="auto"/>
        <w:jc w:val="right"/>
        <w:rPr>
          <w:rFonts w:ascii="Times New Roman" w:hAnsi="Times New Roman" w:cs="Times New Roman"/>
          <w:i/>
          <w:iCs/>
          <w:sz w:val="24"/>
        </w:rPr>
      </w:pPr>
      <w:r>
        <w:rPr>
          <w:rFonts w:ascii="Times New Roman" w:hAnsi="Times New Roman" w:cs="Times New Roman"/>
          <w:i/>
          <w:iCs/>
          <w:sz w:val="24"/>
        </w:rPr>
        <w:t xml:space="preserve">Załącznik nr 2 do projektu umowy - </w:t>
      </w:r>
    </w:p>
    <w:p w14:paraId="17422094">
      <w:pPr>
        <w:tabs>
          <w:tab w:val="left" w:pos="822"/>
        </w:tabs>
        <w:spacing w:line="360" w:lineRule="auto"/>
        <w:jc w:val="right"/>
        <w:rPr>
          <w:rFonts w:ascii="Times New Roman" w:hAnsi="Times New Roman" w:cs="Times New Roman"/>
          <w:i/>
          <w:iCs/>
          <w:sz w:val="24"/>
        </w:rPr>
      </w:pPr>
      <w:r>
        <w:rPr>
          <w:rFonts w:ascii="Times New Roman" w:hAnsi="Times New Roman" w:cs="Times New Roman"/>
          <w:i/>
          <w:iCs/>
          <w:sz w:val="24"/>
        </w:rPr>
        <w:t xml:space="preserve"> Rozliczenie miesięczne</w:t>
      </w:r>
      <w:bookmarkStart w:id="9" w:name="_GoBack"/>
      <w:bookmarkEnd w:id="9"/>
    </w:p>
    <w:p w14:paraId="5EE89EE9">
      <w:pPr>
        <w:tabs>
          <w:tab w:val="left" w:pos="822"/>
        </w:tabs>
        <w:spacing w:line="360" w:lineRule="auto"/>
        <w:jc w:val="right"/>
        <w:rPr>
          <w:rFonts w:ascii="Times New Roman" w:hAnsi="Times New Roman" w:cs="Times New Roman"/>
          <w:i/>
          <w:iCs/>
          <w:sz w:val="24"/>
        </w:rPr>
      </w:pPr>
    </w:p>
    <w:p w14:paraId="1D2545FC">
      <w:pPr>
        <w:tabs>
          <w:tab w:val="left" w:pos="822"/>
        </w:tabs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Rozliczenie za miesiąc …………………… 2025 r.</w:t>
      </w:r>
    </w:p>
    <w:p w14:paraId="39FA9942">
      <w:pPr>
        <w:tabs>
          <w:tab w:val="left" w:pos="822"/>
        </w:tabs>
        <w:spacing w:line="360" w:lineRule="auto"/>
        <w:jc w:val="right"/>
        <w:rPr>
          <w:rFonts w:ascii="Times New Roman" w:hAnsi="Times New Roman" w:cs="Times New Roman"/>
          <w:i/>
          <w:iCs/>
          <w:sz w:val="24"/>
        </w:rPr>
      </w:pP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03"/>
        <w:gridCol w:w="1436"/>
        <w:gridCol w:w="1665"/>
        <w:gridCol w:w="1240"/>
        <w:gridCol w:w="1546"/>
        <w:gridCol w:w="1546"/>
        <w:gridCol w:w="934"/>
      </w:tblGrid>
      <w:tr w14:paraId="36B96E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3" w:type="dxa"/>
          </w:tcPr>
          <w:p w14:paraId="5DD6421B">
            <w:pPr>
              <w:widowControl/>
              <w:autoSpaceDE/>
              <w:autoSpaceDN/>
              <w:jc w:val="center"/>
              <w:rPr>
                <w:rFonts w:ascii="Times New Roman" w:hAnsi="Times New Roman" w:cs="Times New Roman" w:eastAsiaTheme="minorHAnsi"/>
                <w:sz w:val="18"/>
                <w:szCs w:val="18"/>
                <w:lang w:eastAsia="en-US" w:bidi="ar-SA"/>
              </w:rPr>
            </w:pPr>
            <w:r>
              <w:rPr>
                <w:rFonts w:ascii="Times New Roman" w:hAnsi="Times New Roman" w:cs="Times New Roman" w:eastAsiaTheme="minorHAnsi"/>
                <w:sz w:val="18"/>
                <w:szCs w:val="18"/>
                <w:lang w:eastAsia="en-US" w:bidi="ar-SA"/>
              </w:rPr>
              <w:t>Numer linii</w:t>
            </w:r>
          </w:p>
        </w:tc>
        <w:tc>
          <w:tcPr>
            <w:tcW w:w="1418" w:type="dxa"/>
          </w:tcPr>
          <w:p w14:paraId="7FB2EA6F">
            <w:pPr>
              <w:widowControl/>
              <w:autoSpaceDE/>
              <w:autoSpaceDN/>
              <w:jc w:val="center"/>
              <w:rPr>
                <w:rFonts w:ascii="Times New Roman" w:hAnsi="Times New Roman" w:cs="Times New Roman" w:eastAsiaTheme="minorHAnsi"/>
                <w:sz w:val="18"/>
                <w:szCs w:val="18"/>
                <w:lang w:eastAsia="en-US" w:bidi="ar-SA"/>
              </w:rPr>
            </w:pPr>
            <w:r>
              <w:rPr>
                <w:rFonts w:ascii="Times New Roman" w:hAnsi="Times New Roman" w:cs="Times New Roman" w:eastAsiaTheme="minorHAnsi"/>
                <w:sz w:val="18"/>
                <w:szCs w:val="18"/>
                <w:lang w:eastAsia="en-US" w:bidi="ar-SA"/>
              </w:rPr>
              <w:t>Ilość wozokilometrów</w:t>
            </w:r>
          </w:p>
        </w:tc>
        <w:tc>
          <w:tcPr>
            <w:tcW w:w="1670" w:type="dxa"/>
          </w:tcPr>
          <w:p w14:paraId="0DD8A25B">
            <w:pPr>
              <w:widowControl/>
              <w:autoSpaceDE/>
              <w:autoSpaceDN/>
              <w:jc w:val="center"/>
              <w:rPr>
                <w:rFonts w:ascii="Times New Roman" w:hAnsi="Times New Roman" w:cs="Times New Roman" w:eastAsiaTheme="minorHAnsi"/>
                <w:sz w:val="18"/>
                <w:szCs w:val="18"/>
                <w:lang w:eastAsia="en-US" w:bidi="ar-SA"/>
              </w:rPr>
            </w:pPr>
            <w:r>
              <w:rPr>
                <w:rFonts w:ascii="Times New Roman" w:hAnsi="Times New Roman" w:cs="Times New Roman" w:eastAsiaTheme="minorHAnsi"/>
                <w:sz w:val="18"/>
                <w:szCs w:val="18"/>
                <w:lang w:eastAsia="en-US" w:bidi="ar-SA"/>
              </w:rPr>
              <w:t>Stawka za              1wozokilometr</w:t>
            </w:r>
          </w:p>
        </w:tc>
        <w:tc>
          <w:tcPr>
            <w:tcW w:w="1243" w:type="dxa"/>
          </w:tcPr>
          <w:p w14:paraId="0C2A26C9">
            <w:pPr>
              <w:widowControl/>
              <w:autoSpaceDE/>
              <w:autoSpaceDN/>
              <w:jc w:val="center"/>
              <w:rPr>
                <w:rFonts w:ascii="Times New Roman" w:hAnsi="Times New Roman" w:cs="Times New Roman" w:eastAsiaTheme="minorHAnsi"/>
                <w:sz w:val="18"/>
                <w:szCs w:val="18"/>
                <w:lang w:eastAsia="en-US" w:bidi="ar-SA"/>
              </w:rPr>
            </w:pPr>
            <w:r>
              <w:rPr>
                <w:rFonts w:ascii="Times New Roman" w:hAnsi="Times New Roman" w:cs="Times New Roman" w:eastAsiaTheme="minorHAnsi"/>
                <w:sz w:val="18"/>
                <w:szCs w:val="18"/>
                <w:lang w:eastAsia="en-US" w:bidi="ar-SA"/>
              </w:rPr>
              <w:t xml:space="preserve">Przychody ze sprzedaży biletów kwota ogólna </w:t>
            </w:r>
          </w:p>
        </w:tc>
        <w:tc>
          <w:tcPr>
            <w:tcW w:w="1550" w:type="dxa"/>
          </w:tcPr>
          <w:p w14:paraId="481EA823">
            <w:pPr>
              <w:widowControl/>
              <w:autoSpaceDE/>
              <w:autoSpaceDN/>
              <w:jc w:val="center"/>
              <w:rPr>
                <w:rFonts w:ascii="Times New Roman" w:hAnsi="Times New Roman" w:cs="Times New Roman" w:eastAsiaTheme="minorHAnsi"/>
                <w:sz w:val="18"/>
                <w:szCs w:val="18"/>
                <w:lang w:eastAsia="en-US" w:bidi="ar-SA"/>
              </w:rPr>
            </w:pPr>
            <w:r>
              <w:rPr>
                <w:rFonts w:ascii="Times New Roman" w:hAnsi="Times New Roman" w:cs="Times New Roman" w:eastAsiaTheme="minorHAnsi"/>
                <w:sz w:val="18"/>
                <w:szCs w:val="18"/>
                <w:lang w:eastAsia="en-US" w:bidi="ar-SA"/>
              </w:rPr>
              <w:t>Nadwyżka powyżej 1 zł przychodów na 1 wozokilometr</w:t>
            </w:r>
            <w:r>
              <w:rPr>
                <w:rStyle w:val="5"/>
                <w:rFonts w:ascii="Times New Roman" w:hAnsi="Times New Roman" w:cs="Times New Roman" w:eastAsiaTheme="minorHAnsi"/>
                <w:sz w:val="18"/>
                <w:szCs w:val="18"/>
                <w:lang w:eastAsia="en-US" w:bidi="ar-SA"/>
              </w:rPr>
              <w:footnoteReference w:id="0"/>
            </w:r>
          </w:p>
          <w:p w14:paraId="5B252C9E">
            <w:pPr>
              <w:widowControl/>
              <w:autoSpaceDE/>
              <w:autoSpaceDN/>
              <w:jc w:val="center"/>
              <w:rPr>
                <w:rFonts w:ascii="Times New Roman" w:hAnsi="Times New Roman" w:cs="Times New Roman" w:eastAsiaTheme="minorHAnsi"/>
                <w:sz w:val="18"/>
                <w:szCs w:val="18"/>
                <w:lang w:eastAsia="en-US" w:bidi="ar-SA"/>
              </w:rPr>
            </w:pPr>
            <w:r>
              <w:rPr>
                <w:rFonts w:ascii="Times New Roman" w:hAnsi="Times New Roman" w:cs="Times New Roman" w:eastAsiaTheme="minorHAnsi"/>
                <w:sz w:val="18"/>
                <w:szCs w:val="18"/>
                <w:lang w:eastAsia="en-US" w:bidi="ar-SA"/>
              </w:rPr>
              <w:t>(4:2)</w:t>
            </w:r>
          </w:p>
        </w:tc>
        <w:tc>
          <w:tcPr>
            <w:tcW w:w="1550" w:type="dxa"/>
          </w:tcPr>
          <w:p w14:paraId="3C2D8470">
            <w:pPr>
              <w:widowControl/>
              <w:autoSpaceDE/>
              <w:autoSpaceDN/>
              <w:jc w:val="center"/>
              <w:rPr>
                <w:rFonts w:ascii="Times New Roman" w:hAnsi="Times New Roman" w:cs="Times New Roman" w:eastAsiaTheme="minorHAnsi"/>
                <w:sz w:val="18"/>
                <w:szCs w:val="18"/>
                <w:lang w:eastAsia="en-US" w:bidi="ar-SA"/>
              </w:rPr>
            </w:pPr>
            <w:r>
              <w:rPr>
                <w:rFonts w:ascii="Times New Roman" w:hAnsi="Times New Roman" w:cs="Times New Roman" w:eastAsiaTheme="minorHAnsi"/>
                <w:sz w:val="18"/>
                <w:szCs w:val="18"/>
                <w:lang w:eastAsia="en-US" w:bidi="ar-SA"/>
              </w:rPr>
              <w:t>Deficyt</w:t>
            </w:r>
          </w:p>
          <w:p w14:paraId="393E8AC3">
            <w:pPr>
              <w:widowControl/>
              <w:autoSpaceDE/>
              <w:autoSpaceDN/>
              <w:jc w:val="center"/>
              <w:rPr>
                <w:rFonts w:ascii="Times New Roman" w:hAnsi="Times New Roman" w:cs="Times New Roman" w:eastAsiaTheme="minorHAnsi"/>
                <w:sz w:val="18"/>
                <w:szCs w:val="18"/>
                <w:lang w:eastAsia="en-US" w:bidi="ar-SA"/>
              </w:rPr>
            </w:pPr>
            <w:r>
              <w:rPr>
                <w:rFonts w:ascii="Times New Roman" w:hAnsi="Times New Roman" w:cs="Times New Roman" w:eastAsiaTheme="minorHAnsi"/>
                <w:sz w:val="18"/>
                <w:szCs w:val="18"/>
                <w:lang w:eastAsia="en-US" w:bidi="ar-SA"/>
              </w:rPr>
              <w:t>na 1 wozokilometr</w:t>
            </w:r>
          </w:p>
          <w:p w14:paraId="2F5E3F05">
            <w:pPr>
              <w:widowControl/>
              <w:autoSpaceDE/>
              <w:autoSpaceDN/>
              <w:jc w:val="center"/>
              <w:rPr>
                <w:rFonts w:ascii="Times New Roman" w:hAnsi="Times New Roman" w:cs="Times New Roman" w:eastAsiaTheme="minorHAnsi"/>
                <w:sz w:val="18"/>
                <w:szCs w:val="18"/>
                <w:lang w:eastAsia="en-US" w:bidi="ar-SA"/>
              </w:rPr>
            </w:pPr>
            <w:r>
              <w:rPr>
                <w:rFonts w:ascii="Times New Roman" w:hAnsi="Times New Roman" w:cs="Times New Roman" w:eastAsiaTheme="minorHAnsi"/>
                <w:sz w:val="18"/>
                <w:szCs w:val="18"/>
                <w:lang w:eastAsia="en-US" w:bidi="ar-SA"/>
              </w:rPr>
              <w:br w:type="textWrapping"/>
            </w:r>
            <w:r>
              <w:rPr>
                <w:rFonts w:ascii="Times New Roman" w:hAnsi="Times New Roman" w:cs="Times New Roman" w:eastAsiaTheme="minorHAnsi"/>
                <w:sz w:val="18"/>
                <w:szCs w:val="18"/>
                <w:lang w:eastAsia="en-US" w:bidi="ar-SA"/>
              </w:rPr>
              <w:t>(3-5)</w:t>
            </w:r>
          </w:p>
        </w:tc>
        <w:tc>
          <w:tcPr>
            <w:tcW w:w="936" w:type="dxa"/>
          </w:tcPr>
          <w:p w14:paraId="4DA47709">
            <w:pPr>
              <w:widowControl/>
              <w:autoSpaceDE/>
              <w:autoSpaceDN/>
              <w:spacing w:after="160" w:line="259" w:lineRule="auto"/>
              <w:jc w:val="center"/>
              <w:rPr>
                <w:rFonts w:ascii="Times New Roman" w:hAnsi="Times New Roman" w:cs="Times New Roman" w:eastAsiaTheme="minorHAnsi"/>
                <w:sz w:val="18"/>
                <w:szCs w:val="18"/>
                <w:lang w:eastAsia="en-US" w:bidi="ar-SA"/>
              </w:rPr>
            </w:pPr>
            <w:r>
              <w:rPr>
                <w:rFonts w:ascii="Times New Roman" w:hAnsi="Times New Roman" w:cs="Times New Roman" w:eastAsiaTheme="minorHAnsi"/>
                <w:sz w:val="18"/>
                <w:szCs w:val="18"/>
                <w:lang w:eastAsia="en-US" w:bidi="ar-SA"/>
              </w:rPr>
              <w:t>Kwota dopłaty</w:t>
            </w:r>
          </w:p>
          <w:p w14:paraId="39777467">
            <w:pPr>
              <w:widowControl/>
              <w:autoSpaceDE/>
              <w:autoSpaceDN/>
              <w:jc w:val="center"/>
              <w:rPr>
                <w:rFonts w:ascii="Times New Roman" w:hAnsi="Times New Roman" w:cs="Times New Roman" w:eastAsiaTheme="minorHAnsi"/>
                <w:sz w:val="18"/>
                <w:szCs w:val="18"/>
                <w:lang w:eastAsia="en-US" w:bidi="ar-SA"/>
              </w:rPr>
            </w:pPr>
            <w:r>
              <w:rPr>
                <w:rFonts w:ascii="Times New Roman" w:hAnsi="Times New Roman" w:cs="Times New Roman" w:eastAsiaTheme="minorHAnsi"/>
                <w:sz w:val="18"/>
                <w:szCs w:val="18"/>
                <w:lang w:eastAsia="en-US" w:bidi="ar-SA"/>
              </w:rPr>
              <w:br w:type="textWrapping"/>
            </w:r>
            <w:r>
              <w:rPr>
                <w:rFonts w:ascii="Times New Roman" w:hAnsi="Times New Roman" w:cs="Times New Roman" w:eastAsiaTheme="minorHAnsi"/>
                <w:sz w:val="18"/>
                <w:szCs w:val="18"/>
                <w:lang w:eastAsia="en-US" w:bidi="ar-SA"/>
              </w:rPr>
              <w:t>(2*6)</w:t>
            </w:r>
          </w:p>
        </w:tc>
      </w:tr>
      <w:tr w14:paraId="6A0516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3" w:type="dxa"/>
          </w:tcPr>
          <w:p w14:paraId="02E36BAE">
            <w:pPr>
              <w:widowControl/>
              <w:autoSpaceDE/>
              <w:autoSpaceDN/>
              <w:jc w:val="center"/>
              <w:rPr>
                <w:rFonts w:ascii="Times New Roman" w:hAnsi="Times New Roman" w:cs="Times New Roman" w:eastAsiaTheme="minorHAnsi"/>
                <w:sz w:val="18"/>
                <w:szCs w:val="18"/>
                <w:lang w:eastAsia="en-US" w:bidi="ar-SA"/>
              </w:rPr>
            </w:pPr>
            <w:r>
              <w:rPr>
                <w:rFonts w:ascii="Times New Roman" w:hAnsi="Times New Roman" w:cs="Times New Roman" w:eastAsiaTheme="minorHAnsi"/>
                <w:sz w:val="18"/>
                <w:szCs w:val="18"/>
                <w:lang w:eastAsia="en-US" w:bidi="ar-SA"/>
              </w:rPr>
              <w:t>1</w:t>
            </w:r>
          </w:p>
        </w:tc>
        <w:tc>
          <w:tcPr>
            <w:tcW w:w="1418" w:type="dxa"/>
          </w:tcPr>
          <w:p w14:paraId="69A6932D">
            <w:pPr>
              <w:widowControl/>
              <w:autoSpaceDE/>
              <w:autoSpaceDN/>
              <w:jc w:val="center"/>
              <w:rPr>
                <w:rFonts w:ascii="Times New Roman" w:hAnsi="Times New Roman" w:cs="Times New Roman" w:eastAsiaTheme="minorHAnsi"/>
                <w:sz w:val="18"/>
                <w:szCs w:val="18"/>
                <w:lang w:eastAsia="en-US" w:bidi="ar-SA"/>
              </w:rPr>
            </w:pPr>
            <w:r>
              <w:rPr>
                <w:rFonts w:ascii="Times New Roman" w:hAnsi="Times New Roman" w:cs="Times New Roman" w:eastAsiaTheme="minorHAnsi"/>
                <w:sz w:val="18"/>
                <w:szCs w:val="18"/>
                <w:lang w:eastAsia="en-US" w:bidi="ar-SA"/>
              </w:rPr>
              <w:t>2</w:t>
            </w:r>
          </w:p>
        </w:tc>
        <w:tc>
          <w:tcPr>
            <w:tcW w:w="1670" w:type="dxa"/>
          </w:tcPr>
          <w:p w14:paraId="3669228E">
            <w:pPr>
              <w:widowControl/>
              <w:autoSpaceDE/>
              <w:autoSpaceDN/>
              <w:jc w:val="center"/>
              <w:rPr>
                <w:rFonts w:ascii="Times New Roman" w:hAnsi="Times New Roman" w:cs="Times New Roman" w:eastAsiaTheme="minorHAnsi"/>
                <w:sz w:val="18"/>
                <w:szCs w:val="18"/>
                <w:lang w:eastAsia="en-US" w:bidi="ar-SA"/>
              </w:rPr>
            </w:pPr>
            <w:r>
              <w:rPr>
                <w:rFonts w:ascii="Times New Roman" w:hAnsi="Times New Roman" w:cs="Times New Roman" w:eastAsiaTheme="minorHAnsi"/>
                <w:sz w:val="18"/>
                <w:szCs w:val="18"/>
                <w:lang w:eastAsia="en-US" w:bidi="ar-SA"/>
              </w:rPr>
              <w:t>3</w:t>
            </w:r>
          </w:p>
        </w:tc>
        <w:tc>
          <w:tcPr>
            <w:tcW w:w="1243" w:type="dxa"/>
          </w:tcPr>
          <w:p w14:paraId="7A5F8011">
            <w:pPr>
              <w:widowControl/>
              <w:autoSpaceDE/>
              <w:autoSpaceDN/>
              <w:jc w:val="center"/>
              <w:rPr>
                <w:rFonts w:ascii="Times New Roman" w:hAnsi="Times New Roman" w:cs="Times New Roman" w:eastAsiaTheme="minorHAnsi"/>
                <w:sz w:val="18"/>
                <w:szCs w:val="18"/>
                <w:lang w:eastAsia="en-US" w:bidi="ar-SA"/>
              </w:rPr>
            </w:pPr>
            <w:r>
              <w:rPr>
                <w:rFonts w:ascii="Times New Roman" w:hAnsi="Times New Roman" w:cs="Times New Roman" w:eastAsiaTheme="minorHAnsi"/>
                <w:sz w:val="18"/>
                <w:szCs w:val="18"/>
                <w:lang w:eastAsia="en-US" w:bidi="ar-SA"/>
              </w:rPr>
              <w:t>4</w:t>
            </w:r>
          </w:p>
        </w:tc>
        <w:tc>
          <w:tcPr>
            <w:tcW w:w="1550" w:type="dxa"/>
          </w:tcPr>
          <w:p w14:paraId="3CC10E40">
            <w:pPr>
              <w:widowControl/>
              <w:autoSpaceDE/>
              <w:autoSpaceDN/>
              <w:jc w:val="center"/>
              <w:rPr>
                <w:rFonts w:ascii="Times New Roman" w:hAnsi="Times New Roman" w:cs="Times New Roman" w:eastAsiaTheme="minorHAnsi"/>
                <w:sz w:val="18"/>
                <w:szCs w:val="18"/>
                <w:lang w:eastAsia="en-US" w:bidi="ar-SA"/>
              </w:rPr>
            </w:pPr>
            <w:r>
              <w:rPr>
                <w:rFonts w:ascii="Times New Roman" w:hAnsi="Times New Roman" w:cs="Times New Roman" w:eastAsiaTheme="minorHAnsi"/>
                <w:sz w:val="18"/>
                <w:szCs w:val="18"/>
                <w:lang w:eastAsia="en-US" w:bidi="ar-SA"/>
              </w:rPr>
              <w:t>5</w:t>
            </w:r>
          </w:p>
        </w:tc>
        <w:tc>
          <w:tcPr>
            <w:tcW w:w="1550" w:type="dxa"/>
          </w:tcPr>
          <w:p w14:paraId="554C93AD">
            <w:pPr>
              <w:widowControl/>
              <w:autoSpaceDE/>
              <w:autoSpaceDN/>
              <w:jc w:val="center"/>
              <w:rPr>
                <w:rFonts w:ascii="Times New Roman" w:hAnsi="Times New Roman" w:cs="Times New Roman" w:eastAsiaTheme="minorHAnsi"/>
                <w:sz w:val="18"/>
                <w:szCs w:val="18"/>
                <w:lang w:eastAsia="en-US" w:bidi="ar-SA"/>
              </w:rPr>
            </w:pPr>
            <w:r>
              <w:rPr>
                <w:rFonts w:ascii="Times New Roman" w:hAnsi="Times New Roman" w:cs="Times New Roman" w:eastAsiaTheme="minorHAnsi"/>
                <w:sz w:val="18"/>
                <w:szCs w:val="18"/>
                <w:lang w:eastAsia="en-US" w:bidi="ar-SA"/>
              </w:rPr>
              <w:t>6</w:t>
            </w:r>
          </w:p>
        </w:tc>
        <w:tc>
          <w:tcPr>
            <w:tcW w:w="936" w:type="dxa"/>
          </w:tcPr>
          <w:p w14:paraId="75CA394C">
            <w:pPr>
              <w:widowControl/>
              <w:autoSpaceDE/>
              <w:autoSpaceDN/>
              <w:jc w:val="center"/>
              <w:rPr>
                <w:rFonts w:ascii="Times New Roman" w:hAnsi="Times New Roman" w:cs="Times New Roman" w:eastAsiaTheme="minorHAnsi"/>
                <w:sz w:val="18"/>
                <w:szCs w:val="18"/>
                <w:lang w:eastAsia="en-US" w:bidi="ar-SA"/>
              </w:rPr>
            </w:pPr>
            <w:r>
              <w:rPr>
                <w:rFonts w:ascii="Times New Roman" w:hAnsi="Times New Roman" w:cs="Times New Roman" w:eastAsiaTheme="minorHAnsi"/>
                <w:sz w:val="18"/>
                <w:szCs w:val="18"/>
                <w:lang w:eastAsia="en-US" w:bidi="ar-SA"/>
              </w:rPr>
              <w:t>7</w:t>
            </w:r>
          </w:p>
        </w:tc>
      </w:tr>
      <w:tr w14:paraId="0BDC29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3" w:type="dxa"/>
          </w:tcPr>
          <w:p w14:paraId="603F7930">
            <w:pPr>
              <w:widowControl/>
              <w:autoSpaceDE/>
              <w:autoSpaceDN/>
              <w:rPr>
                <w:rFonts w:ascii="Times New Roman" w:hAnsi="Times New Roman" w:cs="Times New Roman" w:eastAsiaTheme="minorHAnsi"/>
                <w:sz w:val="18"/>
                <w:szCs w:val="18"/>
                <w:lang w:eastAsia="en-US" w:bidi="ar-SA"/>
              </w:rPr>
            </w:pPr>
            <w:r>
              <w:rPr>
                <w:rFonts w:ascii="Times New Roman" w:hAnsi="Times New Roman" w:cs="Times New Roman" w:eastAsiaTheme="minorHAnsi"/>
                <w:sz w:val="18"/>
                <w:szCs w:val="18"/>
                <w:lang w:eastAsia="en-US" w:bidi="ar-SA"/>
              </w:rPr>
              <w:t>Linia nr 1</w:t>
            </w:r>
          </w:p>
        </w:tc>
        <w:tc>
          <w:tcPr>
            <w:tcW w:w="1418" w:type="dxa"/>
          </w:tcPr>
          <w:p w14:paraId="7E190F55">
            <w:pPr>
              <w:widowControl/>
              <w:autoSpaceDE/>
              <w:autoSpaceDN/>
              <w:rPr>
                <w:rFonts w:ascii="Times New Roman" w:hAnsi="Times New Roman" w:cs="Times New Roman" w:eastAsiaTheme="minorHAnsi"/>
                <w:sz w:val="18"/>
                <w:szCs w:val="18"/>
                <w:lang w:eastAsia="en-US" w:bidi="ar-SA"/>
              </w:rPr>
            </w:pPr>
          </w:p>
        </w:tc>
        <w:tc>
          <w:tcPr>
            <w:tcW w:w="1670" w:type="dxa"/>
          </w:tcPr>
          <w:p w14:paraId="226E3B79">
            <w:pPr>
              <w:widowControl/>
              <w:autoSpaceDE/>
              <w:autoSpaceDN/>
              <w:rPr>
                <w:rFonts w:ascii="Times New Roman" w:hAnsi="Times New Roman" w:cs="Times New Roman" w:eastAsiaTheme="minorHAnsi"/>
                <w:sz w:val="18"/>
                <w:szCs w:val="18"/>
                <w:lang w:eastAsia="en-US" w:bidi="ar-SA"/>
              </w:rPr>
            </w:pPr>
          </w:p>
        </w:tc>
        <w:tc>
          <w:tcPr>
            <w:tcW w:w="1243" w:type="dxa"/>
          </w:tcPr>
          <w:p w14:paraId="79EC53B7">
            <w:pPr>
              <w:widowControl/>
              <w:autoSpaceDE/>
              <w:autoSpaceDN/>
              <w:rPr>
                <w:rFonts w:ascii="Times New Roman" w:hAnsi="Times New Roman" w:cs="Times New Roman" w:eastAsiaTheme="minorHAnsi"/>
                <w:sz w:val="18"/>
                <w:szCs w:val="18"/>
                <w:lang w:eastAsia="en-US" w:bidi="ar-SA"/>
              </w:rPr>
            </w:pPr>
          </w:p>
        </w:tc>
        <w:tc>
          <w:tcPr>
            <w:tcW w:w="1550" w:type="dxa"/>
          </w:tcPr>
          <w:p w14:paraId="7A548D9C">
            <w:pPr>
              <w:widowControl/>
              <w:autoSpaceDE/>
              <w:autoSpaceDN/>
              <w:rPr>
                <w:rFonts w:ascii="Times New Roman" w:hAnsi="Times New Roman" w:cs="Times New Roman" w:eastAsiaTheme="minorHAnsi"/>
                <w:sz w:val="18"/>
                <w:szCs w:val="18"/>
                <w:lang w:eastAsia="en-US" w:bidi="ar-SA"/>
              </w:rPr>
            </w:pPr>
          </w:p>
        </w:tc>
        <w:tc>
          <w:tcPr>
            <w:tcW w:w="1550" w:type="dxa"/>
          </w:tcPr>
          <w:p w14:paraId="18C99CE0">
            <w:pPr>
              <w:widowControl/>
              <w:autoSpaceDE/>
              <w:autoSpaceDN/>
              <w:rPr>
                <w:rFonts w:ascii="Times New Roman" w:hAnsi="Times New Roman" w:cs="Times New Roman" w:eastAsiaTheme="minorHAnsi"/>
                <w:sz w:val="18"/>
                <w:szCs w:val="18"/>
                <w:lang w:eastAsia="en-US" w:bidi="ar-SA"/>
              </w:rPr>
            </w:pPr>
          </w:p>
        </w:tc>
        <w:tc>
          <w:tcPr>
            <w:tcW w:w="936" w:type="dxa"/>
          </w:tcPr>
          <w:p w14:paraId="0993F2F4">
            <w:pPr>
              <w:widowControl/>
              <w:autoSpaceDE/>
              <w:autoSpaceDN/>
              <w:rPr>
                <w:rFonts w:ascii="Times New Roman" w:hAnsi="Times New Roman" w:cs="Times New Roman" w:eastAsiaTheme="minorHAnsi"/>
                <w:sz w:val="18"/>
                <w:szCs w:val="18"/>
                <w:lang w:eastAsia="en-US" w:bidi="ar-SA"/>
              </w:rPr>
            </w:pPr>
          </w:p>
        </w:tc>
      </w:tr>
      <w:tr w14:paraId="2544BC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3" w:type="dxa"/>
          </w:tcPr>
          <w:p w14:paraId="18272EFB">
            <w:pPr>
              <w:widowControl/>
              <w:autoSpaceDE/>
              <w:autoSpaceDN/>
              <w:rPr>
                <w:rFonts w:ascii="Times New Roman" w:hAnsi="Times New Roman" w:cs="Times New Roman" w:eastAsiaTheme="minorHAnsi"/>
                <w:sz w:val="18"/>
                <w:szCs w:val="18"/>
                <w:lang w:eastAsia="en-US" w:bidi="ar-SA"/>
              </w:rPr>
            </w:pPr>
            <w:r>
              <w:rPr>
                <w:rFonts w:ascii="Times New Roman" w:hAnsi="Times New Roman" w:cs="Times New Roman" w:eastAsiaTheme="minorHAnsi"/>
                <w:sz w:val="18"/>
                <w:szCs w:val="18"/>
                <w:lang w:eastAsia="en-US" w:bidi="ar-SA"/>
              </w:rPr>
              <w:t>Linia nr 2</w:t>
            </w:r>
          </w:p>
        </w:tc>
        <w:tc>
          <w:tcPr>
            <w:tcW w:w="1418" w:type="dxa"/>
          </w:tcPr>
          <w:p w14:paraId="32420589">
            <w:pPr>
              <w:widowControl/>
              <w:autoSpaceDE/>
              <w:autoSpaceDN/>
              <w:rPr>
                <w:rFonts w:ascii="Times New Roman" w:hAnsi="Times New Roman" w:cs="Times New Roman" w:eastAsiaTheme="minorHAnsi"/>
                <w:sz w:val="18"/>
                <w:szCs w:val="18"/>
                <w:lang w:eastAsia="en-US" w:bidi="ar-SA"/>
              </w:rPr>
            </w:pPr>
          </w:p>
        </w:tc>
        <w:tc>
          <w:tcPr>
            <w:tcW w:w="1670" w:type="dxa"/>
          </w:tcPr>
          <w:p w14:paraId="29DB3502">
            <w:pPr>
              <w:widowControl/>
              <w:autoSpaceDE/>
              <w:autoSpaceDN/>
              <w:rPr>
                <w:rFonts w:ascii="Times New Roman" w:hAnsi="Times New Roman" w:cs="Times New Roman" w:eastAsiaTheme="minorHAnsi"/>
                <w:sz w:val="18"/>
                <w:szCs w:val="18"/>
                <w:lang w:eastAsia="en-US" w:bidi="ar-SA"/>
              </w:rPr>
            </w:pPr>
          </w:p>
        </w:tc>
        <w:tc>
          <w:tcPr>
            <w:tcW w:w="1243" w:type="dxa"/>
          </w:tcPr>
          <w:p w14:paraId="598D5834">
            <w:pPr>
              <w:widowControl/>
              <w:autoSpaceDE/>
              <w:autoSpaceDN/>
              <w:rPr>
                <w:rFonts w:ascii="Times New Roman" w:hAnsi="Times New Roman" w:cs="Times New Roman" w:eastAsiaTheme="minorHAnsi"/>
                <w:sz w:val="18"/>
                <w:szCs w:val="18"/>
                <w:lang w:eastAsia="en-US" w:bidi="ar-SA"/>
              </w:rPr>
            </w:pPr>
          </w:p>
        </w:tc>
        <w:tc>
          <w:tcPr>
            <w:tcW w:w="1550" w:type="dxa"/>
          </w:tcPr>
          <w:p w14:paraId="1E7DB1DD">
            <w:pPr>
              <w:widowControl/>
              <w:autoSpaceDE/>
              <w:autoSpaceDN/>
              <w:rPr>
                <w:rFonts w:ascii="Times New Roman" w:hAnsi="Times New Roman" w:cs="Times New Roman" w:eastAsiaTheme="minorHAnsi"/>
                <w:sz w:val="18"/>
                <w:szCs w:val="18"/>
                <w:lang w:eastAsia="en-US" w:bidi="ar-SA"/>
              </w:rPr>
            </w:pPr>
          </w:p>
        </w:tc>
        <w:tc>
          <w:tcPr>
            <w:tcW w:w="1550" w:type="dxa"/>
          </w:tcPr>
          <w:p w14:paraId="571D1F22">
            <w:pPr>
              <w:widowControl/>
              <w:autoSpaceDE/>
              <w:autoSpaceDN/>
              <w:rPr>
                <w:rFonts w:ascii="Times New Roman" w:hAnsi="Times New Roman" w:cs="Times New Roman" w:eastAsiaTheme="minorHAnsi"/>
                <w:sz w:val="18"/>
                <w:szCs w:val="18"/>
                <w:lang w:eastAsia="en-US" w:bidi="ar-SA"/>
              </w:rPr>
            </w:pPr>
          </w:p>
        </w:tc>
        <w:tc>
          <w:tcPr>
            <w:tcW w:w="936" w:type="dxa"/>
          </w:tcPr>
          <w:p w14:paraId="13404FDE">
            <w:pPr>
              <w:widowControl/>
              <w:autoSpaceDE/>
              <w:autoSpaceDN/>
              <w:rPr>
                <w:rFonts w:ascii="Times New Roman" w:hAnsi="Times New Roman" w:cs="Times New Roman" w:eastAsiaTheme="minorHAnsi"/>
                <w:sz w:val="18"/>
                <w:szCs w:val="18"/>
                <w:lang w:eastAsia="en-US" w:bidi="ar-SA"/>
              </w:rPr>
            </w:pPr>
          </w:p>
        </w:tc>
      </w:tr>
      <w:tr w14:paraId="2890BE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3" w:type="dxa"/>
          </w:tcPr>
          <w:p w14:paraId="58FDBE6C">
            <w:pPr>
              <w:widowControl/>
              <w:autoSpaceDE/>
              <w:autoSpaceDN/>
              <w:rPr>
                <w:rFonts w:ascii="Times New Roman" w:hAnsi="Times New Roman" w:cs="Times New Roman" w:eastAsiaTheme="minorHAnsi"/>
                <w:sz w:val="18"/>
                <w:szCs w:val="18"/>
                <w:lang w:eastAsia="en-US" w:bidi="ar-SA"/>
              </w:rPr>
            </w:pPr>
            <w:r>
              <w:rPr>
                <w:rFonts w:ascii="Times New Roman" w:hAnsi="Times New Roman" w:cs="Times New Roman" w:eastAsiaTheme="minorHAnsi"/>
                <w:sz w:val="18"/>
                <w:szCs w:val="18"/>
                <w:lang w:eastAsia="en-US" w:bidi="ar-SA"/>
              </w:rPr>
              <w:t>Linia nr 3</w:t>
            </w:r>
          </w:p>
        </w:tc>
        <w:tc>
          <w:tcPr>
            <w:tcW w:w="1418" w:type="dxa"/>
          </w:tcPr>
          <w:p w14:paraId="197F15BF">
            <w:pPr>
              <w:widowControl/>
              <w:autoSpaceDE/>
              <w:autoSpaceDN/>
              <w:rPr>
                <w:rFonts w:ascii="Times New Roman" w:hAnsi="Times New Roman" w:cs="Times New Roman" w:eastAsiaTheme="minorHAnsi"/>
                <w:sz w:val="18"/>
                <w:szCs w:val="18"/>
                <w:lang w:eastAsia="en-US" w:bidi="ar-SA"/>
              </w:rPr>
            </w:pPr>
          </w:p>
        </w:tc>
        <w:tc>
          <w:tcPr>
            <w:tcW w:w="1670" w:type="dxa"/>
          </w:tcPr>
          <w:p w14:paraId="3B71F211">
            <w:pPr>
              <w:widowControl/>
              <w:autoSpaceDE/>
              <w:autoSpaceDN/>
              <w:rPr>
                <w:rFonts w:ascii="Times New Roman" w:hAnsi="Times New Roman" w:cs="Times New Roman" w:eastAsiaTheme="minorHAnsi"/>
                <w:sz w:val="18"/>
                <w:szCs w:val="18"/>
                <w:lang w:eastAsia="en-US" w:bidi="ar-SA"/>
              </w:rPr>
            </w:pPr>
          </w:p>
        </w:tc>
        <w:tc>
          <w:tcPr>
            <w:tcW w:w="1243" w:type="dxa"/>
          </w:tcPr>
          <w:p w14:paraId="1D603A10">
            <w:pPr>
              <w:widowControl/>
              <w:autoSpaceDE/>
              <w:autoSpaceDN/>
              <w:rPr>
                <w:rFonts w:ascii="Times New Roman" w:hAnsi="Times New Roman" w:cs="Times New Roman" w:eastAsiaTheme="minorHAnsi"/>
                <w:sz w:val="18"/>
                <w:szCs w:val="18"/>
                <w:lang w:eastAsia="en-US" w:bidi="ar-SA"/>
              </w:rPr>
            </w:pPr>
          </w:p>
        </w:tc>
        <w:tc>
          <w:tcPr>
            <w:tcW w:w="1550" w:type="dxa"/>
          </w:tcPr>
          <w:p w14:paraId="0FA04105">
            <w:pPr>
              <w:widowControl/>
              <w:autoSpaceDE/>
              <w:autoSpaceDN/>
              <w:rPr>
                <w:rFonts w:ascii="Times New Roman" w:hAnsi="Times New Roman" w:cs="Times New Roman" w:eastAsiaTheme="minorHAnsi"/>
                <w:sz w:val="18"/>
                <w:szCs w:val="18"/>
                <w:lang w:eastAsia="en-US" w:bidi="ar-SA"/>
              </w:rPr>
            </w:pPr>
          </w:p>
        </w:tc>
        <w:tc>
          <w:tcPr>
            <w:tcW w:w="1550" w:type="dxa"/>
          </w:tcPr>
          <w:p w14:paraId="11EB220E">
            <w:pPr>
              <w:widowControl/>
              <w:autoSpaceDE/>
              <w:autoSpaceDN/>
              <w:rPr>
                <w:rFonts w:ascii="Times New Roman" w:hAnsi="Times New Roman" w:cs="Times New Roman" w:eastAsiaTheme="minorHAnsi"/>
                <w:sz w:val="18"/>
                <w:szCs w:val="18"/>
                <w:lang w:eastAsia="en-US" w:bidi="ar-SA"/>
              </w:rPr>
            </w:pPr>
          </w:p>
        </w:tc>
        <w:tc>
          <w:tcPr>
            <w:tcW w:w="936" w:type="dxa"/>
          </w:tcPr>
          <w:p w14:paraId="04862046">
            <w:pPr>
              <w:widowControl/>
              <w:autoSpaceDE/>
              <w:autoSpaceDN/>
              <w:rPr>
                <w:rFonts w:ascii="Times New Roman" w:hAnsi="Times New Roman" w:cs="Times New Roman" w:eastAsiaTheme="minorHAnsi"/>
                <w:sz w:val="18"/>
                <w:szCs w:val="18"/>
                <w:lang w:eastAsia="en-US" w:bidi="ar-SA"/>
              </w:rPr>
            </w:pPr>
          </w:p>
        </w:tc>
      </w:tr>
      <w:tr w14:paraId="6A95A8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3" w:type="dxa"/>
          </w:tcPr>
          <w:p w14:paraId="53F6651F">
            <w:pPr>
              <w:widowControl/>
              <w:autoSpaceDE/>
              <w:autoSpaceDN/>
              <w:rPr>
                <w:rFonts w:ascii="Times New Roman" w:hAnsi="Times New Roman" w:cs="Times New Roman" w:eastAsiaTheme="minorHAnsi"/>
                <w:sz w:val="18"/>
                <w:szCs w:val="18"/>
                <w:lang w:eastAsia="en-US" w:bidi="ar-SA"/>
              </w:rPr>
            </w:pPr>
            <w:r>
              <w:rPr>
                <w:rFonts w:ascii="Times New Roman" w:hAnsi="Times New Roman" w:cs="Times New Roman" w:eastAsiaTheme="minorHAnsi"/>
                <w:sz w:val="18"/>
                <w:szCs w:val="18"/>
                <w:lang w:eastAsia="en-US" w:bidi="ar-SA"/>
              </w:rPr>
              <w:t>Linia nr 4</w:t>
            </w:r>
          </w:p>
        </w:tc>
        <w:tc>
          <w:tcPr>
            <w:tcW w:w="1418" w:type="dxa"/>
          </w:tcPr>
          <w:p w14:paraId="2E922B62">
            <w:pPr>
              <w:widowControl/>
              <w:autoSpaceDE/>
              <w:autoSpaceDN/>
              <w:rPr>
                <w:rFonts w:ascii="Times New Roman" w:hAnsi="Times New Roman" w:cs="Times New Roman" w:eastAsiaTheme="minorHAnsi"/>
                <w:sz w:val="18"/>
                <w:szCs w:val="18"/>
                <w:lang w:eastAsia="en-US" w:bidi="ar-SA"/>
              </w:rPr>
            </w:pPr>
          </w:p>
        </w:tc>
        <w:tc>
          <w:tcPr>
            <w:tcW w:w="1670" w:type="dxa"/>
          </w:tcPr>
          <w:p w14:paraId="38970F44">
            <w:pPr>
              <w:widowControl/>
              <w:autoSpaceDE/>
              <w:autoSpaceDN/>
              <w:rPr>
                <w:rFonts w:ascii="Times New Roman" w:hAnsi="Times New Roman" w:cs="Times New Roman" w:eastAsiaTheme="minorHAnsi"/>
                <w:sz w:val="18"/>
                <w:szCs w:val="18"/>
                <w:lang w:eastAsia="en-US" w:bidi="ar-SA"/>
              </w:rPr>
            </w:pPr>
          </w:p>
        </w:tc>
        <w:tc>
          <w:tcPr>
            <w:tcW w:w="1243" w:type="dxa"/>
          </w:tcPr>
          <w:p w14:paraId="1631742E">
            <w:pPr>
              <w:widowControl/>
              <w:autoSpaceDE/>
              <w:autoSpaceDN/>
              <w:rPr>
                <w:rFonts w:ascii="Times New Roman" w:hAnsi="Times New Roman" w:cs="Times New Roman" w:eastAsiaTheme="minorHAnsi"/>
                <w:sz w:val="18"/>
                <w:szCs w:val="18"/>
                <w:lang w:eastAsia="en-US" w:bidi="ar-SA"/>
              </w:rPr>
            </w:pPr>
          </w:p>
        </w:tc>
        <w:tc>
          <w:tcPr>
            <w:tcW w:w="1550" w:type="dxa"/>
          </w:tcPr>
          <w:p w14:paraId="0242BF56">
            <w:pPr>
              <w:widowControl/>
              <w:autoSpaceDE/>
              <w:autoSpaceDN/>
              <w:rPr>
                <w:rFonts w:ascii="Times New Roman" w:hAnsi="Times New Roman" w:cs="Times New Roman" w:eastAsiaTheme="minorHAnsi"/>
                <w:sz w:val="18"/>
                <w:szCs w:val="18"/>
                <w:lang w:eastAsia="en-US" w:bidi="ar-SA"/>
              </w:rPr>
            </w:pPr>
          </w:p>
        </w:tc>
        <w:tc>
          <w:tcPr>
            <w:tcW w:w="1550" w:type="dxa"/>
          </w:tcPr>
          <w:p w14:paraId="55B309AD">
            <w:pPr>
              <w:widowControl/>
              <w:autoSpaceDE/>
              <w:autoSpaceDN/>
              <w:rPr>
                <w:rFonts w:ascii="Times New Roman" w:hAnsi="Times New Roman" w:cs="Times New Roman" w:eastAsiaTheme="minorHAnsi"/>
                <w:sz w:val="18"/>
                <w:szCs w:val="18"/>
                <w:lang w:eastAsia="en-US" w:bidi="ar-SA"/>
              </w:rPr>
            </w:pPr>
          </w:p>
        </w:tc>
        <w:tc>
          <w:tcPr>
            <w:tcW w:w="936" w:type="dxa"/>
          </w:tcPr>
          <w:p w14:paraId="50871DF9">
            <w:pPr>
              <w:widowControl/>
              <w:autoSpaceDE/>
              <w:autoSpaceDN/>
              <w:rPr>
                <w:rFonts w:ascii="Times New Roman" w:hAnsi="Times New Roman" w:cs="Times New Roman" w:eastAsiaTheme="minorHAnsi"/>
                <w:sz w:val="18"/>
                <w:szCs w:val="18"/>
                <w:lang w:eastAsia="en-US" w:bidi="ar-SA"/>
              </w:rPr>
            </w:pPr>
          </w:p>
        </w:tc>
      </w:tr>
      <w:tr w14:paraId="087601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3" w:type="dxa"/>
          </w:tcPr>
          <w:p w14:paraId="0A5D0FAF">
            <w:pPr>
              <w:widowControl/>
              <w:autoSpaceDE/>
              <w:autoSpaceDN/>
              <w:rPr>
                <w:rFonts w:ascii="Times New Roman" w:hAnsi="Times New Roman" w:cs="Times New Roman" w:eastAsiaTheme="minorHAnsi"/>
                <w:sz w:val="18"/>
                <w:szCs w:val="18"/>
                <w:lang w:eastAsia="en-US" w:bidi="ar-SA"/>
              </w:rPr>
            </w:pPr>
            <w:r>
              <w:rPr>
                <w:rFonts w:ascii="Times New Roman" w:hAnsi="Times New Roman" w:cs="Times New Roman" w:eastAsiaTheme="minorHAnsi"/>
                <w:sz w:val="18"/>
                <w:szCs w:val="18"/>
                <w:lang w:eastAsia="en-US" w:bidi="ar-SA"/>
              </w:rPr>
              <w:t>Linia nr 5</w:t>
            </w:r>
          </w:p>
        </w:tc>
        <w:tc>
          <w:tcPr>
            <w:tcW w:w="1418" w:type="dxa"/>
          </w:tcPr>
          <w:p w14:paraId="2F2F63F3">
            <w:pPr>
              <w:widowControl/>
              <w:autoSpaceDE/>
              <w:autoSpaceDN/>
              <w:rPr>
                <w:rFonts w:ascii="Times New Roman" w:hAnsi="Times New Roman" w:cs="Times New Roman" w:eastAsiaTheme="minorHAnsi"/>
                <w:sz w:val="18"/>
                <w:szCs w:val="18"/>
                <w:lang w:eastAsia="en-US" w:bidi="ar-SA"/>
              </w:rPr>
            </w:pPr>
          </w:p>
        </w:tc>
        <w:tc>
          <w:tcPr>
            <w:tcW w:w="1670" w:type="dxa"/>
          </w:tcPr>
          <w:p w14:paraId="481A1DAB">
            <w:pPr>
              <w:widowControl/>
              <w:autoSpaceDE/>
              <w:autoSpaceDN/>
              <w:rPr>
                <w:rFonts w:ascii="Times New Roman" w:hAnsi="Times New Roman" w:cs="Times New Roman" w:eastAsiaTheme="minorHAnsi"/>
                <w:sz w:val="18"/>
                <w:szCs w:val="18"/>
                <w:lang w:eastAsia="en-US" w:bidi="ar-SA"/>
              </w:rPr>
            </w:pPr>
          </w:p>
        </w:tc>
        <w:tc>
          <w:tcPr>
            <w:tcW w:w="1243" w:type="dxa"/>
          </w:tcPr>
          <w:p w14:paraId="2CF11266">
            <w:pPr>
              <w:widowControl/>
              <w:autoSpaceDE/>
              <w:autoSpaceDN/>
              <w:rPr>
                <w:rFonts w:ascii="Times New Roman" w:hAnsi="Times New Roman" w:cs="Times New Roman" w:eastAsiaTheme="minorHAnsi"/>
                <w:sz w:val="18"/>
                <w:szCs w:val="18"/>
                <w:lang w:eastAsia="en-US" w:bidi="ar-SA"/>
              </w:rPr>
            </w:pPr>
          </w:p>
        </w:tc>
        <w:tc>
          <w:tcPr>
            <w:tcW w:w="1550" w:type="dxa"/>
          </w:tcPr>
          <w:p w14:paraId="375B8E66">
            <w:pPr>
              <w:widowControl/>
              <w:autoSpaceDE/>
              <w:autoSpaceDN/>
              <w:rPr>
                <w:rFonts w:ascii="Times New Roman" w:hAnsi="Times New Roman" w:cs="Times New Roman" w:eastAsiaTheme="minorHAnsi"/>
                <w:sz w:val="18"/>
                <w:szCs w:val="18"/>
                <w:lang w:eastAsia="en-US" w:bidi="ar-SA"/>
              </w:rPr>
            </w:pPr>
          </w:p>
        </w:tc>
        <w:tc>
          <w:tcPr>
            <w:tcW w:w="1550" w:type="dxa"/>
          </w:tcPr>
          <w:p w14:paraId="4E72B380">
            <w:pPr>
              <w:widowControl/>
              <w:autoSpaceDE/>
              <w:autoSpaceDN/>
              <w:rPr>
                <w:rFonts w:ascii="Times New Roman" w:hAnsi="Times New Roman" w:cs="Times New Roman" w:eastAsiaTheme="minorHAnsi"/>
                <w:sz w:val="18"/>
                <w:szCs w:val="18"/>
                <w:lang w:eastAsia="en-US" w:bidi="ar-SA"/>
              </w:rPr>
            </w:pPr>
          </w:p>
        </w:tc>
        <w:tc>
          <w:tcPr>
            <w:tcW w:w="936" w:type="dxa"/>
          </w:tcPr>
          <w:p w14:paraId="215D042D">
            <w:pPr>
              <w:widowControl/>
              <w:autoSpaceDE/>
              <w:autoSpaceDN/>
              <w:rPr>
                <w:rFonts w:ascii="Times New Roman" w:hAnsi="Times New Roman" w:cs="Times New Roman" w:eastAsiaTheme="minorHAnsi"/>
                <w:sz w:val="18"/>
                <w:szCs w:val="18"/>
                <w:lang w:eastAsia="en-US" w:bidi="ar-SA"/>
              </w:rPr>
            </w:pPr>
          </w:p>
        </w:tc>
      </w:tr>
      <w:tr w14:paraId="38F91E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3" w:type="dxa"/>
          </w:tcPr>
          <w:p w14:paraId="2DB21845">
            <w:pPr>
              <w:widowControl/>
              <w:autoSpaceDE/>
              <w:autoSpaceDN/>
              <w:rPr>
                <w:rFonts w:ascii="Times New Roman" w:hAnsi="Times New Roman" w:cs="Times New Roman" w:eastAsiaTheme="minorHAnsi"/>
                <w:sz w:val="18"/>
                <w:szCs w:val="18"/>
                <w:lang w:eastAsia="en-US" w:bidi="ar-SA"/>
              </w:rPr>
            </w:pPr>
            <w:r>
              <w:rPr>
                <w:rFonts w:ascii="Times New Roman" w:hAnsi="Times New Roman" w:cs="Times New Roman" w:eastAsiaTheme="minorHAnsi"/>
                <w:sz w:val="18"/>
                <w:szCs w:val="18"/>
                <w:lang w:eastAsia="en-US" w:bidi="ar-SA"/>
              </w:rPr>
              <w:t>Linia nr 6</w:t>
            </w:r>
          </w:p>
        </w:tc>
        <w:tc>
          <w:tcPr>
            <w:tcW w:w="1418" w:type="dxa"/>
          </w:tcPr>
          <w:p w14:paraId="2459D520">
            <w:pPr>
              <w:widowControl/>
              <w:autoSpaceDE/>
              <w:autoSpaceDN/>
              <w:rPr>
                <w:rFonts w:ascii="Times New Roman" w:hAnsi="Times New Roman" w:cs="Times New Roman" w:eastAsiaTheme="minorHAnsi"/>
                <w:sz w:val="18"/>
                <w:szCs w:val="18"/>
                <w:lang w:eastAsia="en-US" w:bidi="ar-SA"/>
              </w:rPr>
            </w:pPr>
          </w:p>
        </w:tc>
        <w:tc>
          <w:tcPr>
            <w:tcW w:w="1670" w:type="dxa"/>
          </w:tcPr>
          <w:p w14:paraId="25520019">
            <w:pPr>
              <w:widowControl/>
              <w:autoSpaceDE/>
              <w:autoSpaceDN/>
              <w:rPr>
                <w:rFonts w:ascii="Times New Roman" w:hAnsi="Times New Roman" w:cs="Times New Roman" w:eastAsiaTheme="minorHAnsi"/>
                <w:sz w:val="18"/>
                <w:szCs w:val="18"/>
                <w:lang w:eastAsia="en-US" w:bidi="ar-SA"/>
              </w:rPr>
            </w:pPr>
          </w:p>
        </w:tc>
        <w:tc>
          <w:tcPr>
            <w:tcW w:w="1243" w:type="dxa"/>
          </w:tcPr>
          <w:p w14:paraId="55DA7FE5">
            <w:pPr>
              <w:widowControl/>
              <w:autoSpaceDE/>
              <w:autoSpaceDN/>
              <w:rPr>
                <w:rFonts w:ascii="Times New Roman" w:hAnsi="Times New Roman" w:cs="Times New Roman" w:eastAsiaTheme="minorHAnsi"/>
                <w:sz w:val="18"/>
                <w:szCs w:val="18"/>
                <w:lang w:eastAsia="en-US" w:bidi="ar-SA"/>
              </w:rPr>
            </w:pPr>
          </w:p>
        </w:tc>
        <w:tc>
          <w:tcPr>
            <w:tcW w:w="1550" w:type="dxa"/>
          </w:tcPr>
          <w:p w14:paraId="3A69529A">
            <w:pPr>
              <w:widowControl/>
              <w:autoSpaceDE/>
              <w:autoSpaceDN/>
              <w:rPr>
                <w:rFonts w:ascii="Times New Roman" w:hAnsi="Times New Roman" w:cs="Times New Roman" w:eastAsiaTheme="minorHAnsi"/>
                <w:sz w:val="18"/>
                <w:szCs w:val="18"/>
                <w:lang w:eastAsia="en-US" w:bidi="ar-SA"/>
              </w:rPr>
            </w:pPr>
          </w:p>
        </w:tc>
        <w:tc>
          <w:tcPr>
            <w:tcW w:w="1550" w:type="dxa"/>
          </w:tcPr>
          <w:p w14:paraId="7592B2B0">
            <w:pPr>
              <w:widowControl/>
              <w:autoSpaceDE/>
              <w:autoSpaceDN/>
              <w:rPr>
                <w:rFonts w:ascii="Times New Roman" w:hAnsi="Times New Roman" w:cs="Times New Roman" w:eastAsiaTheme="minorHAnsi"/>
                <w:sz w:val="18"/>
                <w:szCs w:val="18"/>
                <w:lang w:eastAsia="en-US" w:bidi="ar-SA"/>
              </w:rPr>
            </w:pPr>
          </w:p>
        </w:tc>
        <w:tc>
          <w:tcPr>
            <w:tcW w:w="936" w:type="dxa"/>
          </w:tcPr>
          <w:p w14:paraId="17DDF47D">
            <w:pPr>
              <w:widowControl/>
              <w:autoSpaceDE/>
              <w:autoSpaceDN/>
              <w:rPr>
                <w:rFonts w:ascii="Times New Roman" w:hAnsi="Times New Roman" w:cs="Times New Roman" w:eastAsiaTheme="minorHAnsi"/>
                <w:sz w:val="18"/>
                <w:szCs w:val="18"/>
                <w:lang w:eastAsia="en-US" w:bidi="ar-SA"/>
              </w:rPr>
            </w:pPr>
          </w:p>
        </w:tc>
      </w:tr>
      <w:tr w14:paraId="1EC6CB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3" w:type="dxa"/>
          </w:tcPr>
          <w:p w14:paraId="6FB57E53">
            <w:pPr>
              <w:widowControl/>
              <w:autoSpaceDE/>
              <w:autoSpaceDN/>
              <w:rPr>
                <w:rFonts w:ascii="Times New Roman" w:hAnsi="Times New Roman" w:cs="Times New Roman" w:eastAsiaTheme="minorHAnsi"/>
                <w:sz w:val="18"/>
                <w:szCs w:val="18"/>
                <w:lang w:eastAsia="en-US" w:bidi="ar-SA"/>
              </w:rPr>
            </w:pPr>
            <w:r>
              <w:rPr>
                <w:rFonts w:ascii="Times New Roman" w:hAnsi="Times New Roman" w:cs="Times New Roman" w:eastAsiaTheme="minorHAnsi"/>
                <w:sz w:val="18"/>
                <w:szCs w:val="18"/>
                <w:lang w:eastAsia="en-US" w:bidi="ar-SA"/>
              </w:rPr>
              <w:t>Linia nr 7</w:t>
            </w:r>
          </w:p>
        </w:tc>
        <w:tc>
          <w:tcPr>
            <w:tcW w:w="1418" w:type="dxa"/>
          </w:tcPr>
          <w:p w14:paraId="20BC27AC">
            <w:pPr>
              <w:widowControl/>
              <w:autoSpaceDE/>
              <w:autoSpaceDN/>
              <w:rPr>
                <w:rFonts w:ascii="Times New Roman" w:hAnsi="Times New Roman" w:cs="Times New Roman" w:eastAsiaTheme="minorHAnsi"/>
                <w:sz w:val="18"/>
                <w:szCs w:val="18"/>
                <w:lang w:eastAsia="en-US" w:bidi="ar-SA"/>
              </w:rPr>
            </w:pPr>
          </w:p>
        </w:tc>
        <w:tc>
          <w:tcPr>
            <w:tcW w:w="1670" w:type="dxa"/>
          </w:tcPr>
          <w:p w14:paraId="6D4AAC27">
            <w:pPr>
              <w:widowControl/>
              <w:autoSpaceDE/>
              <w:autoSpaceDN/>
              <w:rPr>
                <w:rFonts w:ascii="Times New Roman" w:hAnsi="Times New Roman" w:cs="Times New Roman" w:eastAsiaTheme="minorHAnsi"/>
                <w:sz w:val="18"/>
                <w:szCs w:val="18"/>
                <w:lang w:eastAsia="en-US" w:bidi="ar-SA"/>
              </w:rPr>
            </w:pPr>
          </w:p>
        </w:tc>
        <w:tc>
          <w:tcPr>
            <w:tcW w:w="1243" w:type="dxa"/>
          </w:tcPr>
          <w:p w14:paraId="64BB369F">
            <w:pPr>
              <w:widowControl/>
              <w:autoSpaceDE/>
              <w:autoSpaceDN/>
              <w:rPr>
                <w:rFonts w:ascii="Times New Roman" w:hAnsi="Times New Roman" w:cs="Times New Roman" w:eastAsiaTheme="minorHAnsi"/>
                <w:sz w:val="18"/>
                <w:szCs w:val="18"/>
                <w:lang w:eastAsia="en-US" w:bidi="ar-SA"/>
              </w:rPr>
            </w:pPr>
          </w:p>
        </w:tc>
        <w:tc>
          <w:tcPr>
            <w:tcW w:w="1550" w:type="dxa"/>
          </w:tcPr>
          <w:p w14:paraId="7D2B65AC">
            <w:pPr>
              <w:widowControl/>
              <w:autoSpaceDE/>
              <w:autoSpaceDN/>
              <w:rPr>
                <w:rFonts w:ascii="Times New Roman" w:hAnsi="Times New Roman" w:cs="Times New Roman" w:eastAsiaTheme="minorHAnsi"/>
                <w:sz w:val="18"/>
                <w:szCs w:val="18"/>
                <w:lang w:eastAsia="en-US" w:bidi="ar-SA"/>
              </w:rPr>
            </w:pPr>
          </w:p>
        </w:tc>
        <w:tc>
          <w:tcPr>
            <w:tcW w:w="1550" w:type="dxa"/>
          </w:tcPr>
          <w:p w14:paraId="04E8779E">
            <w:pPr>
              <w:widowControl/>
              <w:autoSpaceDE/>
              <w:autoSpaceDN/>
              <w:rPr>
                <w:rFonts w:ascii="Times New Roman" w:hAnsi="Times New Roman" w:cs="Times New Roman" w:eastAsiaTheme="minorHAnsi"/>
                <w:sz w:val="18"/>
                <w:szCs w:val="18"/>
                <w:lang w:eastAsia="en-US" w:bidi="ar-SA"/>
              </w:rPr>
            </w:pPr>
          </w:p>
        </w:tc>
        <w:tc>
          <w:tcPr>
            <w:tcW w:w="936" w:type="dxa"/>
          </w:tcPr>
          <w:p w14:paraId="65418CE3">
            <w:pPr>
              <w:widowControl/>
              <w:autoSpaceDE/>
              <w:autoSpaceDN/>
              <w:rPr>
                <w:rFonts w:ascii="Times New Roman" w:hAnsi="Times New Roman" w:cs="Times New Roman" w:eastAsiaTheme="minorHAnsi"/>
                <w:sz w:val="18"/>
                <w:szCs w:val="18"/>
                <w:lang w:eastAsia="en-US" w:bidi="ar-SA"/>
              </w:rPr>
            </w:pPr>
          </w:p>
        </w:tc>
      </w:tr>
      <w:tr w14:paraId="5FB7E8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3" w:type="dxa"/>
          </w:tcPr>
          <w:p w14:paraId="1489D98B">
            <w:pPr>
              <w:widowControl/>
              <w:autoSpaceDE/>
              <w:autoSpaceDN/>
              <w:rPr>
                <w:rFonts w:ascii="Times New Roman" w:hAnsi="Times New Roman" w:cs="Times New Roman" w:eastAsiaTheme="minorHAnsi"/>
                <w:sz w:val="18"/>
                <w:szCs w:val="18"/>
                <w:lang w:eastAsia="en-US" w:bidi="ar-SA"/>
              </w:rPr>
            </w:pPr>
            <w:r>
              <w:rPr>
                <w:rFonts w:ascii="Times New Roman" w:hAnsi="Times New Roman" w:cs="Times New Roman" w:eastAsiaTheme="minorHAnsi"/>
                <w:sz w:val="18"/>
                <w:szCs w:val="18"/>
                <w:lang w:eastAsia="en-US" w:bidi="ar-SA"/>
              </w:rPr>
              <w:t>Linia nr 8</w:t>
            </w:r>
          </w:p>
        </w:tc>
        <w:tc>
          <w:tcPr>
            <w:tcW w:w="1418" w:type="dxa"/>
          </w:tcPr>
          <w:p w14:paraId="076B7644">
            <w:pPr>
              <w:widowControl/>
              <w:autoSpaceDE/>
              <w:autoSpaceDN/>
              <w:rPr>
                <w:rFonts w:ascii="Times New Roman" w:hAnsi="Times New Roman" w:cs="Times New Roman" w:eastAsiaTheme="minorHAnsi"/>
                <w:sz w:val="18"/>
                <w:szCs w:val="18"/>
                <w:lang w:eastAsia="en-US" w:bidi="ar-SA"/>
              </w:rPr>
            </w:pPr>
          </w:p>
        </w:tc>
        <w:tc>
          <w:tcPr>
            <w:tcW w:w="1670" w:type="dxa"/>
          </w:tcPr>
          <w:p w14:paraId="40A4B27B">
            <w:pPr>
              <w:widowControl/>
              <w:autoSpaceDE/>
              <w:autoSpaceDN/>
              <w:rPr>
                <w:rFonts w:ascii="Times New Roman" w:hAnsi="Times New Roman" w:cs="Times New Roman" w:eastAsiaTheme="minorHAnsi"/>
                <w:sz w:val="18"/>
                <w:szCs w:val="18"/>
                <w:lang w:eastAsia="en-US" w:bidi="ar-SA"/>
              </w:rPr>
            </w:pPr>
          </w:p>
        </w:tc>
        <w:tc>
          <w:tcPr>
            <w:tcW w:w="1243" w:type="dxa"/>
          </w:tcPr>
          <w:p w14:paraId="095FFB7B">
            <w:pPr>
              <w:widowControl/>
              <w:autoSpaceDE/>
              <w:autoSpaceDN/>
              <w:rPr>
                <w:rFonts w:ascii="Times New Roman" w:hAnsi="Times New Roman" w:cs="Times New Roman" w:eastAsiaTheme="minorHAnsi"/>
                <w:sz w:val="18"/>
                <w:szCs w:val="18"/>
                <w:lang w:eastAsia="en-US" w:bidi="ar-SA"/>
              </w:rPr>
            </w:pPr>
          </w:p>
        </w:tc>
        <w:tc>
          <w:tcPr>
            <w:tcW w:w="1550" w:type="dxa"/>
          </w:tcPr>
          <w:p w14:paraId="423F50EF">
            <w:pPr>
              <w:widowControl/>
              <w:autoSpaceDE/>
              <w:autoSpaceDN/>
              <w:rPr>
                <w:rFonts w:ascii="Times New Roman" w:hAnsi="Times New Roman" w:cs="Times New Roman" w:eastAsiaTheme="minorHAnsi"/>
                <w:sz w:val="18"/>
                <w:szCs w:val="18"/>
                <w:lang w:eastAsia="en-US" w:bidi="ar-SA"/>
              </w:rPr>
            </w:pPr>
          </w:p>
        </w:tc>
        <w:tc>
          <w:tcPr>
            <w:tcW w:w="1550" w:type="dxa"/>
          </w:tcPr>
          <w:p w14:paraId="1210C3F5">
            <w:pPr>
              <w:widowControl/>
              <w:autoSpaceDE/>
              <w:autoSpaceDN/>
              <w:rPr>
                <w:rFonts w:ascii="Times New Roman" w:hAnsi="Times New Roman" w:cs="Times New Roman" w:eastAsiaTheme="minorHAnsi"/>
                <w:sz w:val="18"/>
                <w:szCs w:val="18"/>
                <w:lang w:eastAsia="en-US" w:bidi="ar-SA"/>
              </w:rPr>
            </w:pPr>
          </w:p>
        </w:tc>
        <w:tc>
          <w:tcPr>
            <w:tcW w:w="936" w:type="dxa"/>
          </w:tcPr>
          <w:p w14:paraId="283A4D65">
            <w:pPr>
              <w:widowControl/>
              <w:autoSpaceDE/>
              <w:autoSpaceDN/>
              <w:rPr>
                <w:rFonts w:ascii="Times New Roman" w:hAnsi="Times New Roman" w:cs="Times New Roman" w:eastAsiaTheme="minorHAnsi"/>
                <w:sz w:val="18"/>
                <w:szCs w:val="18"/>
                <w:lang w:eastAsia="en-US" w:bidi="ar-SA"/>
              </w:rPr>
            </w:pPr>
          </w:p>
        </w:tc>
      </w:tr>
      <w:tr w14:paraId="5ED12F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3" w:type="dxa"/>
          </w:tcPr>
          <w:p w14:paraId="0F0C5445">
            <w:pPr>
              <w:widowControl/>
              <w:autoSpaceDE/>
              <w:autoSpaceDN/>
              <w:rPr>
                <w:rFonts w:ascii="Times New Roman" w:hAnsi="Times New Roman" w:cs="Times New Roman" w:eastAsiaTheme="minorHAnsi"/>
                <w:sz w:val="18"/>
                <w:szCs w:val="18"/>
                <w:lang w:eastAsia="en-US" w:bidi="ar-SA"/>
              </w:rPr>
            </w:pPr>
            <w:r>
              <w:rPr>
                <w:rFonts w:ascii="Times New Roman" w:hAnsi="Times New Roman" w:cs="Times New Roman" w:eastAsiaTheme="minorHAnsi"/>
                <w:sz w:val="18"/>
                <w:szCs w:val="18"/>
                <w:lang w:eastAsia="en-US" w:bidi="ar-SA"/>
              </w:rPr>
              <w:t>Linia nr 9</w:t>
            </w:r>
          </w:p>
        </w:tc>
        <w:tc>
          <w:tcPr>
            <w:tcW w:w="1418" w:type="dxa"/>
          </w:tcPr>
          <w:p w14:paraId="67098C71">
            <w:pPr>
              <w:widowControl/>
              <w:autoSpaceDE/>
              <w:autoSpaceDN/>
              <w:rPr>
                <w:rFonts w:ascii="Times New Roman" w:hAnsi="Times New Roman" w:cs="Times New Roman" w:eastAsiaTheme="minorHAnsi"/>
                <w:sz w:val="18"/>
                <w:szCs w:val="18"/>
                <w:lang w:eastAsia="en-US" w:bidi="ar-SA"/>
              </w:rPr>
            </w:pPr>
          </w:p>
        </w:tc>
        <w:tc>
          <w:tcPr>
            <w:tcW w:w="1670" w:type="dxa"/>
          </w:tcPr>
          <w:p w14:paraId="745DBFC9">
            <w:pPr>
              <w:widowControl/>
              <w:autoSpaceDE/>
              <w:autoSpaceDN/>
              <w:rPr>
                <w:rFonts w:ascii="Times New Roman" w:hAnsi="Times New Roman" w:cs="Times New Roman" w:eastAsiaTheme="minorHAnsi"/>
                <w:sz w:val="18"/>
                <w:szCs w:val="18"/>
                <w:lang w:eastAsia="en-US" w:bidi="ar-SA"/>
              </w:rPr>
            </w:pPr>
          </w:p>
        </w:tc>
        <w:tc>
          <w:tcPr>
            <w:tcW w:w="1243" w:type="dxa"/>
          </w:tcPr>
          <w:p w14:paraId="4B938212">
            <w:pPr>
              <w:widowControl/>
              <w:autoSpaceDE/>
              <w:autoSpaceDN/>
              <w:rPr>
                <w:rFonts w:ascii="Times New Roman" w:hAnsi="Times New Roman" w:cs="Times New Roman" w:eastAsiaTheme="minorHAnsi"/>
                <w:sz w:val="18"/>
                <w:szCs w:val="18"/>
                <w:lang w:eastAsia="en-US" w:bidi="ar-SA"/>
              </w:rPr>
            </w:pPr>
          </w:p>
        </w:tc>
        <w:tc>
          <w:tcPr>
            <w:tcW w:w="1550" w:type="dxa"/>
          </w:tcPr>
          <w:p w14:paraId="74F1D6B6">
            <w:pPr>
              <w:widowControl/>
              <w:autoSpaceDE/>
              <w:autoSpaceDN/>
              <w:rPr>
                <w:rFonts w:ascii="Times New Roman" w:hAnsi="Times New Roman" w:cs="Times New Roman" w:eastAsiaTheme="minorHAnsi"/>
                <w:sz w:val="18"/>
                <w:szCs w:val="18"/>
                <w:lang w:eastAsia="en-US" w:bidi="ar-SA"/>
              </w:rPr>
            </w:pPr>
          </w:p>
        </w:tc>
        <w:tc>
          <w:tcPr>
            <w:tcW w:w="1550" w:type="dxa"/>
          </w:tcPr>
          <w:p w14:paraId="7CC6ECB7">
            <w:pPr>
              <w:widowControl/>
              <w:autoSpaceDE/>
              <w:autoSpaceDN/>
              <w:rPr>
                <w:rFonts w:ascii="Times New Roman" w:hAnsi="Times New Roman" w:cs="Times New Roman" w:eastAsiaTheme="minorHAnsi"/>
                <w:sz w:val="18"/>
                <w:szCs w:val="18"/>
                <w:lang w:eastAsia="en-US" w:bidi="ar-SA"/>
              </w:rPr>
            </w:pPr>
          </w:p>
        </w:tc>
        <w:tc>
          <w:tcPr>
            <w:tcW w:w="936" w:type="dxa"/>
          </w:tcPr>
          <w:p w14:paraId="76741832">
            <w:pPr>
              <w:widowControl/>
              <w:autoSpaceDE/>
              <w:autoSpaceDN/>
              <w:rPr>
                <w:rFonts w:ascii="Times New Roman" w:hAnsi="Times New Roman" w:cs="Times New Roman" w:eastAsiaTheme="minorHAnsi"/>
                <w:sz w:val="18"/>
                <w:szCs w:val="18"/>
                <w:lang w:eastAsia="en-US" w:bidi="ar-SA"/>
              </w:rPr>
            </w:pPr>
          </w:p>
        </w:tc>
      </w:tr>
    </w:tbl>
    <w:p w14:paraId="3226317A">
      <w:pPr>
        <w:widowControl/>
        <w:autoSpaceDE/>
        <w:autoSpaceDN/>
        <w:spacing w:after="200"/>
        <w:rPr>
          <w:rFonts w:asciiTheme="minorHAnsi" w:hAnsiTheme="minorHAnsi" w:eastAsiaTheme="minorHAnsi" w:cstheme="minorBidi"/>
          <w:i/>
          <w:iCs/>
          <w:color w:val="44546A" w:themeColor="text2"/>
          <w:sz w:val="24"/>
          <w:szCs w:val="24"/>
          <w:lang w:eastAsia="en-US" w:bidi="ar-SA"/>
          <w14:textFill>
            <w14:solidFill>
              <w14:schemeClr w14:val="tx2"/>
            </w14:solidFill>
          </w14:textFill>
        </w:rPr>
      </w:pPr>
      <w:r>
        <w:rPr>
          <w:rFonts w:asciiTheme="minorHAnsi" w:hAnsiTheme="minorHAnsi" w:eastAsiaTheme="minorHAnsi" w:cstheme="minorBidi"/>
          <w:i/>
          <w:iCs/>
          <w:color w:val="44546A" w:themeColor="text2"/>
          <w:sz w:val="24"/>
          <w:szCs w:val="24"/>
          <w:lang w:eastAsia="en-US" w:bidi="ar-SA"/>
          <w14:textFill>
            <w14:solidFill>
              <w14:schemeClr w14:val="tx2"/>
            </w14:solidFill>
          </w14:textFill>
        </w:rPr>
        <w:t>„Jestem świadomy odpowiedzialności karnej za złożenie fałszywego oświadczenia”</w:t>
      </w:r>
    </w:p>
    <w:p w14:paraId="7E44D215">
      <w:pPr>
        <w:tabs>
          <w:tab w:val="left" w:pos="822"/>
        </w:tabs>
        <w:spacing w:line="360" w:lineRule="auto"/>
        <w:jc w:val="center"/>
        <w:rPr>
          <w:rFonts w:ascii="Times New Roman" w:hAnsi="Times New Roman" w:cs="Times New Roman"/>
          <w:i/>
          <w:iCs/>
          <w:sz w:val="24"/>
        </w:rPr>
      </w:pPr>
    </w:p>
    <w:p w14:paraId="313C7BBF">
      <w:pPr>
        <w:widowControl/>
        <w:autoSpaceDE/>
        <w:autoSpaceDN/>
        <w:spacing w:after="160" w:line="259" w:lineRule="auto"/>
        <w:rPr>
          <w:rFonts w:ascii="Times New Roman" w:hAnsi="Times New Roman" w:cs="Times New Roman" w:eastAsiaTheme="minorHAnsi"/>
          <w:sz w:val="24"/>
          <w:szCs w:val="24"/>
          <w:lang w:eastAsia="en-US" w:bidi="ar-SA"/>
        </w:rPr>
      </w:pPr>
    </w:p>
    <w:p w14:paraId="78641BA2">
      <w:pPr>
        <w:widowControl/>
        <w:autoSpaceDE/>
        <w:autoSpaceDN/>
        <w:spacing w:after="160" w:line="259" w:lineRule="auto"/>
        <w:rPr>
          <w:rFonts w:ascii="Times New Roman" w:hAnsi="Times New Roman" w:cs="Times New Roman" w:eastAsiaTheme="minorHAnsi"/>
          <w:sz w:val="24"/>
          <w:szCs w:val="24"/>
          <w:lang w:eastAsia="en-US" w:bidi="ar-SA"/>
        </w:rPr>
      </w:pPr>
    </w:p>
    <w:p w14:paraId="33852078">
      <w:pPr>
        <w:widowControl/>
        <w:autoSpaceDE/>
        <w:autoSpaceDN/>
        <w:spacing w:after="160" w:line="259" w:lineRule="auto"/>
        <w:jc w:val="right"/>
        <w:rPr>
          <w:rFonts w:ascii="Times New Roman" w:hAnsi="Times New Roman" w:cs="Times New Roman" w:eastAsiaTheme="minorHAnsi"/>
          <w:sz w:val="24"/>
          <w:szCs w:val="24"/>
          <w:lang w:eastAsia="en-US" w:bidi="ar-SA"/>
        </w:rPr>
      </w:pPr>
      <w:r>
        <w:rPr>
          <w:rFonts w:ascii="Times New Roman" w:hAnsi="Times New Roman" w:cs="Times New Roman" w:eastAsiaTheme="minorHAnsi"/>
          <w:sz w:val="24"/>
          <w:szCs w:val="24"/>
          <w:lang w:eastAsia="en-US" w:bidi="ar-SA"/>
        </w:rPr>
        <w:t>Podpis</w:t>
      </w:r>
    </w:p>
    <w:bookmarkEnd w:id="8"/>
    <w:p w14:paraId="153B76EF">
      <w:pPr>
        <w:widowControl/>
        <w:autoSpaceDE/>
        <w:autoSpaceDN/>
        <w:spacing w:after="160" w:line="259" w:lineRule="auto"/>
        <w:rPr>
          <w:rFonts w:asciiTheme="minorHAnsi" w:hAnsiTheme="minorHAnsi" w:eastAsiaTheme="minorHAnsi" w:cstheme="minorBidi"/>
          <w:sz w:val="24"/>
          <w:szCs w:val="24"/>
          <w:lang w:eastAsia="en-US" w:bidi="ar-SA"/>
        </w:rPr>
      </w:pPr>
      <w:r>
        <w:rPr>
          <w:rFonts w:asciiTheme="minorHAnsi" w:hAnsiTheme="minorHAnsi" w:eastAsiaTheme="minorHAnsi" w:cstheme="minorBidi"/>
          <w:sz w:val="24"/>
          <w:szCs w:val="24"/>
          <w:lang w:eastAsia="en-US" w:bidi="ar-SA"/>
        </w:rPr>
        <w:tab/>
      </w:r>
      <w:r>
        <w:rPr>
          <w:rFonts w:asciiTheme="minorHAnsi" w:hAnsiTheme="minorHAnsi" w:eastAsiaTheme="minorHAnsi" w:cstheme="minorBidi"/>
          <w:sz w:val="24"/>
          <w:szCs w:val="24"/>
          <w:lang w:eastAsia="en-US" w:bidi="ar-SA"/>
        </w:rPr>
        <w:tab/>
      </w:r>
      <w:r>
        <w:rPr>
          <w:rFonts w:asciiTheme="minorHAnsi" w:hAnsiTheme="minorHAnsi" w:eastAsiaTheme="minorHAnsi" w:cstheme="minorBidi"/>
          <w:sz w:val="24"/>
          <w:szCs w:val="24"/>
          <w:lang w:eastAsia="en-US" w:bidi="ar-SA"/>
        </w:rPr>
        <w:tab/>
      </w:r>
      <w:r>
        <w:rPr>
          <w:rFonts w:asciiTheme="minorHAnsi" w:hAnsiTheme="minorHAnsi" w:eastAsiaTheme="minorHAnsi" w:cstheme="minorBidi"/>
          <w:sz w:val="24"/>
          <w:szCs w:val="24"/>
          <w:lang w:eastAsia="en-US" w:bidi="ar-SA"/>
        </w:rPr>
        <w:tab/>
      </w:r>
      <w:r>
        <w:rPr>
          <w:rFonts w:asciiTheme="minorHAnsi" w:hAnsiTheme="minorHAnsi" w:eastAsiaTheme="minorHAnsi" w:cstheme="minorBidi"/>
          <w:sz w:val="24"/>
          <w:szCs w:val="24"/>
          <w:lang w:eastAsia="en-US" w:bidi="ar-SA"/>
        </w:rPr>
        <w:tab/>
      </w:r>
      <w:r>
        <w:rPr>
          <w:rFonts w:asciiTheme="minorHAnsi" w:hAnsiTheme="minorHAnsi" w:eastAsiaTheme="minorHAnsi" w:cstheme="minorBidi"/>
          <w:sz w:val="24"/>
          <w:szCs w:val="24"/>
          <w:lang w:eastAsia="en-US" w:bidi="ar-SA"/>
        </w:rPr>
        <w:tab/>
      </w:r>
      <w:r>
        <w:rPr>
          <w:rFonts w:asciiTheme="minorHAnsi" w:hAnsiTheme="minorHAnsi" w:eastAsiaTheme="minorHAnsi" w:cstheme="minorBidi"/>
          <w:sz w:val="24"/>
          <w:szCs w:val="24"/>
          <w:lang w:eastAsia="en-US" w:bidi="ar-SA"/>
        </w:rPr>
        <w:tab/>
      </w:r>
      <w:r>
        <w:rPr>
          <w:rFonts w:asciiTheme="minorHAnsi" w:hAnsiTheme="minorHAnsi" w:eastAsiaTheme="minorHAnsi" w:cstheme="minorBidi"/>
          <w:sz w:val="24"/>
          <w:szCs w:val="24"/>
          <w:lang w:eastAsia="en-US" w:bidi="ar-SA"/>
        </w:rPr>
        <w:tab/>
      </w:r>
      <w:r>
        <w:rPr>
          <w:rFonts w:asciiTheme="minorHAnsi" w:hAnsiTheme="minorHAnsi" w:eastAsiaTheme="minorHAnsi" w:cstheme="minorBidi"/>
          <w:sz w:val="24"/>
          <w:szCs w:val="24"/>
          <w:lang w:eastAsia="en-US" w:bidi="ar-SA"/>
        </w:rPr>
        <w:tab/>
      </w:r>
    </w:p>
    <w:p w14:paraId="254E7269">
      <w:pPr>
        <w:tabs>
          <w:tab w:val="left" w:pos="822"/>
        </w:tabs>
        <w:spacing w:line="360" w:lineRule="auto"/>
        <w:jc w:val="center"/>
        <w:rPr>
          <w:rFonts w:ascii="Times New Roman" w:hAnsi="Times New Roman" w:cs="Times New Roman"/>
          <w:sz w:val="24"/>
        </w:rPr>
      </w:pPr>
    </w:p>
    <w:p w14:paraId="4D87F9D7">
      <w:pPr>
        <w:tabs>
          <w:tab w:val="left" w:pos="822"/>
        </w:tabs>
        <w:spacing w:line="360" w:lineRule="auto"/>
        <w:jc w:val="center"/>
        <w:rPr>
          <w:rFonts w:ascii="Times New Roman" w:hAnsi="Times New Roman" w:cs="Times New Roman"/>
          <w:sz w:val="24"/>
        </w:rPr>
      </w:pPr>
    </w:p>
    <w:p w14:paraId="748882D2">
      <w:pPr>
        <w:tabs>
          <w:tab w:val="left" w:pos="822"/>
        </w:tabs>
        <w:spacing w:line="360" w:lineRule="auto"/>
        <w:jc w:val="center"/>
        <w:rPr>
          <w:rFonts w:ascii="Times New Roman" w:hAnsi="Times New Roman" w:cs="Times New Roman"/>
          <w:sz w:val="24"/>
        </w:rPr>
      </w:pPr>
    </w:p>
    <w:p w14:paraId="340FAAB3">
      <w:pPr>
        <w:tabs>
          <w:tab w:val="left" w:pos="822"/>
        </w:tabs>
        <w:spacing w:line="360" w:lineRule="auto"/>
        <w:jc w:val="center"/>
        <w:rPr>
          <w:rFonts w:ascii="Times New Roman" w:hAnsi="Times New Roman" w:cs="Times New Roman"/>
          <w:sz w:val="24"/>
        </w:rPr>
      </w:pPr>
    </w:p>
    <w:p w14:paraId="58146AF8">
      <w:pPr>
        <w:tabs>
          <w:tab w:val="left" w:pos="822"/>
        </w:tabs>
        <w:spacing w:line="360" w:lineRule="auto"/>
        <w:jc w:val="center"/>
        <w:rPr>
          <w:rFonts w:ascii="Times New Roman" w:hAnsi="Times New Roman" w:cs="Times New Roman"/>
          <w:sz w:val="24"/>
        </w:rPr>
      </w:pPr>
    </w:p>
    <w:p w14:paraId="2258930C">
      <w:pPr>
        <w:tabs>
          <w:tab w:val="left" w:pos="822"/>
        </w:tabs>
        <w:spacing w:line="360" w:lineRule="auto"/>
        <w:jc w:val="center"/>
        <w:rPr>
          <w:rFonts w:ascii="Times New Roman" w:hAnsi="Times New Roman" w:cs="Times New Roman"/>
          <w:sz w:val="24"/>
        </w:rPr>
      </w:pPr>
    </w:p>
    <w:p w14:paraId="3B0DFCDD">
      <w:pPr>
        <w:tabs>
          <w:tab w:val="left" w:pos="822"/>
        </w:tabs>
        <w:spacing w:line="360" w:lineRule="auto"/>
        <w:jc w:val="center"/>
        <w:rPr>
          <w:rFonts w:ascii="Times New Roman" w:hAnsi="Times New Roman" w:cs="Times New Roman"/>
          <w:sz w:val="24"/>
        </w:rPr>
      </w:pPr>
    </w:p>
    <w:p w14:paraId="22AA8B65">
      <w:pPr>
        <w:tabs>
          <w:tab w:val="left" w:pos="822"/>
        </w:tabs>
        <w:spacing w:line="360" w:lineRule="auto"/>
        <w:jc w:val="center"/>
        <w:rPr>
          <w:rFonts w:ascii="Times New Roman" w:hAnsi="Times New Roman" w:cs="Times New Roman"/>
          <w:sz w:val="24"/>
        </w:rPr>
      </w:pPr>
    </w:p>
    <w:p w14:paraId="03B264C2">
      <w:pPr>
        <w:tabs>
          <w:tab w:val="left" w:pos="822"/>
        </w:tabs>
        <w:spacing w:line="360" w:lineRule="auto"/>
        <w:jc w:val="center"/>
        <w:rPr>
          <w:rFonts w:ascii="Times New Roman" w:hAnsi="Times New Roman" w:cs="Times New Roman"/>
          <w:sz w:val="24"/>
        </w:rPr>
      </w:pPr>
    </w:p>
    <w:p w14:paraId="6DD00964">
      <w:pPr>
        <w:tabs>
          <w:tab w:val="left" w:pos="822"/>
        </w:tabs>
        <w:spacing w:line="360" w:lineRule="auto"/>
        <w:jc w:val="center"/>
        <w:rPr>
          <w:rFonts w:ascii="Times New Roman" w:hAnsi="Times New Roman" w:cs="Times New Roman"/>
          <w:sz w:val="24"/>
        </w:rPr>
      </w:pPr>
    </w:p>
    <w:p w14:paraId="610533E4">
      <w:pPr>
        <w:tabs>
          <w:tab w:val="left" w:pos="822"/>
        </w:tabs>
        <w:spacing w:line="360" w:lineRule="auto"/>
        <w:jc w:val="center"/>
        <w:rPr>
          <w:rFonts w:ascii="Times New Roman" w:hAnsi="Times New Roman" w:cs="Times New Roman"/>
          <w:sz w:val="24"/>
        </w:rPr>
      </w:pPr>
    </w:p>
    <w:p w14:paraId="1FA4A7B1">
      <w:pPr>
        <w:tabs>
          <w:tab w:val="left" w:pos="822"/>
        </w:tabs>
        <w:spacing w:line="360" w:lineRule="auto"/>
        <w:jc w:val="center"/>
        <w:rPr>
          <w:rFonts w:ascii="Times New Roman" w:hAnsi="Times New Roman" w:cs="Times New Roman"/>
          <w:sz w:val="24"/>
        </w:rPr>
      </w:pPr>
    </w:p>
    <w:p w14:paraId="0AC2006E">
      <w:pPr>
        <w:tabs>
          <w:tab w:val="left" w:pos="822"/>
        </w:tabs>
        <w:spacing w:line="360" w:lineRule="auto"/>
        <w:rPr>
          <w:rFonts w:ascii="Times New Roman" w:hAnsi="Times New Roman" w:cs="Times New Roman"/>
          <w:sz w:val="24"/>
        </w:rPr>
      </w:pPr>
    </w:p>
    <w:p w14:paraId="5EB2C351">
      <w:pPr>
        <w:tabs>
          <w:tab w:val="left" w:pos="822"/>
        </w:tabs>
        <w:spacing w:line="360" w:lineRule="auto"/>
        <w:jc w:val="center"/>
        <w:rPr>
          <w:rFonts w:ascii="Times New Roman" w:hAnsi="Times New Roman" w:cs="Times New Roman"/>
          <w:sz w:val="24"/>
        </w:rPr>
      </w:pPr>
    </w:p>
    <w:p w14:paraId="0AFBD88A">
      <w:pPr>
        <w:tabs>
          <w:tab w:val="left" w:pos="822"/>
        </w:tabs>
        <w:spacing w:line="360" w:lineRule="auto"/>
        <w:jc w:val="center"/>
        <w:rPr>
          <w:rFonts w:ascii="Times New Roman" w:hAnsi="Times New Roman" w:cs="Times New Roman"/>
          <w:sz w:val="24"/>
        </w:rPr>
      </w:pPr>
    </w:p>
    <w:p w14:paraId="7AAEDF00">
      <w:pPr>
        <w:tabs>
          <w:tab w:val="left" w:pos="822"/>
        </w:tabs>
        <w:spacing w:line="360" w:lineRule="auto"/>
        <w:jc w:val="center"/>
        <w:rPr>
          <w:rFonts w:ascii="Times New Roman" w:hAnsi="Times New Roman" w:cs="Times New Roman"/>
          <w:sz w:val="24"/>
        </w:rPr>
      </w:pPr>
    </w:p>
    <w:p w14:paraId="21ADFE09">
      <w:pPr>
        <w:tabs>
          <w:tab w:val="left" w:pos="822"/>
        </w:tabs>
        <w:spacing w:line="360" w:lineRule="auto"/>
        <w:jc w:val="center"/>
        <w:rPr>
          <w:rFonts w:ascii="Times New Roman" w:hAnsi="Times New Roman" w:cs="Times New Roman"/>
          <w:sz w:val="24"/>
        </w:rPr>
      </w:pPr>
    </w:p>
    <w:p w14:paraId="78509715">
      <w:pPr>
        <w:tabs>
          <w:tab w:val="left" w:pos="822"/>
        </w:tabs>
        <w:spacing w:line="360" w:lineRule="auto"/>
        <w:rPr>
          <w:rFonts w:ascii="Times New Roman" w:hAnsi="Times New Roman" w:cs="Times New Roman"/>
          <w:sz w:val="24"/>
        </w:rPr>
        <w:sectPr>
          <w:pgSz w:w="11910" w:h="16840"/>
          <w:pgMar w:top="1440" w:right="1080" w:bottom="1440" w:left="1276" w:header="0" w:footer="1049" w:gutter="0"/>
          <w:cols w:space="708" w:num="1"/>
          <w:docGrid w:linePitch="299" w:charSpace="0"/>
        </w:sectPr>
      </w:pPr>
    </w:p>
    <w:p w14:paraId="6EA9A9FC"/>
    <w:sectPr>
      <w:pgSz w:w="11906" w:h="16838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Trebuchet MS">
    <w:panose1 w:val="020B0603020202020204"/>
    <w:charset w:val="EE"/>
    <w:family w:val="swiss"/>
    <w:pitch w:val="default"/>
    <w:sig w:usb0="00000687" w:usb1="00000000" w:usb2="00000000" w:usb3="00000000" w:csb0="2000009F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 (Tekst podstawowy)">
    <w:altName w:val="Calibri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2">
    <w:p>
      <w:r>
        <w:separator/>
      </w:r>
    </w:p>
  </w:footnote>
  <w:footnote w:type="continuationSeparator" w:id="3">
    <w:p>
      <w:r>
        <w:continuationSeparator/>
      </w:r>
    </w:p>
  </w:footnote>
  <w:footnote w:id="0">
    <w:p w14:paraId="6655E142">
      <w:pPr>
        <w:pStyle w:val="6"/>
      </w:pPr>
      <w:r>
        <w:rPr>
          <w:rStyle w:val="5"/>
        </w:rPr>
        <w:footnoteRef/>
      </w:r>
      <w:r>
        <w:t xml:space="preserve"> - jeżeli wynik ilorazu 4:2 jest mniejszy niż 1,00 zł należy wpisać 0,00 zł.</w:t>
      </w:r>
    </w:p>
    <w:p w14:paraId="07AF7B7E">
      <w:pPr>
        <w:pStyle w:val="6"/>
      </w:pPr>
      <w:r>
        <w:t xml:space="preserve">  - jeżeli wynik ilorazu 4:2 jest większy niż 1,00 zł należy wpisać otrzymaną kwotę.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55374D8"/>
    <w:multiLevelType w:val="multilevel"/>
    <w:tmpl w:val="055374D8"/>
    <w:lvl w:ilvl="0" w:tentative="0">
      <w:start w:val="1"/>
      <w:numFmt w:val="lowerLetter"/>
      <w:lvlText w:val="%1)"/>
      <w:lvlJc w:val="left"/>
      <w:pPr>
        <w:ind w:left="821" w:hanging="348"/>
      </w:pPr>
      <w:rPr>
        <w:rFonts w:hint="default" w:ascii="Times New Roman" w:hAnsi="Times New Roman" w:eastAsia="Times New Roman" w:cs="Times New Roman"/>
        <w:w w:val="100"/>
        <w:sz w:val="22"/>
        <w:szCs w:val="22"/>
        <w:lang w:val="pl-PL" w:eastAsia="pl-PL" w:bidi="pl-PL"/>
      </w:rPr>
    </w:lvl>
    <w:lvl w:ilvl="1" w:tentative="0">
      <w:start w:val="0"/>
      <w:numFmt w:val="bullet"/>
      <w:lvlText w:val="•"/>
      <w:lvlJc w:val="left"/>
      <w:pPr>
        <w:ind w:left="1724" w:hanging="348"/>
      </w:pPr>
      <w:rPr>
        <w:rFonts w:hint="default"/>
        <w:lang w:val="pl-PL" w:eastAsia="pl-PL" w:bidi="pl-PL"/>
      </w:rPr>
    </w:lvl>
    <w:lvl w:ilvl="2" w:tentative="0">
      <w:start w:val="0"/>
      <w:numFmt w:val="bullet"/>
      <w:lvlText w:val="•"/>
      <w:lvlJc w:val="left"/>
      <w:pPr>
        <w:ind w:left="2629" w:hanging="348"/>
      </w:pPr>
      <w:rPr>
        <w:rFonts w:hint="default"/>
        <w:lang w:val="pl-PL" w:eastAsia="pl-PL" w:bidi="pl-PL"/>
      </w:rPr>
    </w:lvl>
    <w:lvl w:ilvl="3" w:tentative="0">
      <w:start w:val="0"/>
      <w:numFmt w:val="bullet"/>
      <w:lvlText w:val="•"/>
      <w:lvlJc w:val="left"/>
      <w:pPr>
        <w:ind w:left="3533" w:hanging="348"/>
      </w:pPr>
      <w:rPr>
        <w:rFonts w:hint="default"/>
        <w:lang w:val="pl-PL" w:eastAsia="pl-PL" w:bidi="pl-PL"/>
      </w:rPr>
    </w:lvl>
    <w:lvl w:ilvl="4" w:tentative="0">
      <w:start w:val="0"/>
      <w:numFmt w:val="bullet"/>
      <w:lvlText w:val="•"/>
      <w:lvlJc w:val="left"/>
      <w:pPr>
        <w:ind w:left="4438" w:hanging="348"/>
      </w:pPr>
      <w:rPr>
        <w:rFonts w:hint="default"/>
        <w:lang w:val="pl-PL" w:eastAsia="pl-PL" w:bidi="pl-PL"/>
      </w:rPr>
    </w:lvl>
    <w:lvl w:ilvl="5" w:tentative="0">
      <w:start w:val="0"/>
      <w:numFmt w:val="bullet"/>
      <w:lvlText w:val="•"/>
      <w:lvlJc w:val="left"/>
      <w:pPr>
        <w:ind w:left="5343" w:hanging="348"/>
      </w:pPr>
      <w:rPr>
        <w:rFonts w:hint="default"/>
        <w:lang w:val="pl-PL" w:eastAsia="pl-PL" w:bidi="pl-PL"/>
      </w:rPr>
    </w:lvl>
    <w:lvl w:ilvl="6" w:tentative="0">
      <w:start w:val="0"/>
      <w:numFmt w:val="bullet"/>
      <w:lvlText w:val="•"/>
      <w:lvlJc w:val="left"/>
      <w:pPr>
        <w:ind w:left="6247" w:hanging="348"/>
      </w:pPr>
      <w:rPr>
        <w:rFonts w:hint="default"/>
        <w:lang w:val="pl-PL" w:eastAsia="pl-PL" w:bidi="pl-PL"/>
      </w:rPr>
    </w:lvl>
    <w:lvl w:ilvl="7" w:tentative="0">
      <w:start w:val="0"/>
      <w:numFmt w:val="bullet"/>
      <w:lvlText w:val="•"/>
      <w:lvlJc w:val="left"/>
      <w:pPr>
        <w:ind w:left="7152" w:hanging="348"/>
      </w:pPr>
      <w:rPr>
        <w:rFonts w:hint="default"/>
        <w:lang w:val="pl-PL" w:eastAsia="pl-PL" w:bidi="pl-PL"/>
      </w:rPr>
    </w:lvl>
    <w:lvl w:ilvl="8" w:tentative="0">
      <w:start w:val="0"/>
      <w:numFmt w:val="bullet"/>
      <w:lvlText w:val="•"/>
      <w:lvlJc w:val="left"/>
      <w:pPr>
        <w:ind w:left="8057" w:hanging="348"/>
      </w:pPr>
      <w:rPr>
        <w:rFonts w:hint="default"/>
        <w:lang w:val="pl-PL" w:eastAsia="pl-PL" w:bidi="pl-PL"/>
      </w:rPr>
    </w:lvl>
  </w:abstractNum>
  <w:abstractNum w:abstractNumId="1">
    <w:nsid w:val="13D62689"/>
    <w:multiLevelType w:val="multilevel"/>
    <w:tmpl w:val="13D62689"/>
    <w:lvl w:ilvl="0" w:tentative="0">
      <w:start w:val="1"/>
      <w:numFmt w:val="decimal"/>
      <w:lvlText w:val="%1."/>
      <w:lvlJc w:val="left"/>
      <w:pPr>
        <w:ind w:left="819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539" w:hanging="360"/>
      </w:pPr>
    </w:lvl>
    <w:lvl w:ilvl="2" w:tentative="0">
      <w:start w:val="1"/>
      <w:numFmt w:val="lowerRoman"/>
      <w:lvlText w:val="%3."/>
      <w:lvlJc w:val="right"/>
      <w:pPr>
        <w:ind w:left="2259" w:hanging="180"/>
      </w:pPr>
    </w:lvl>
    <w:lvl w:ilvl="3" w:tentative="0">
      <w:start w:val="1"/>
      <w:numFmt w:val="decimal"/>
      <w:lvlText w:val="%4."/>
      <w:lvlJc w:val="left"/>
      <w:pPr>
        <w:ind w:left="2979" w:hanging="360"/>
      </w:pPr>
    </w:lvl>
    <w:lvl w:ilvl="4" w:tentative="0">
      <w:start w:val="1"/>
      <w:numFmt w:val="lowerLetter"/>
      <w:lvlText w:val="%5."/>
      <w:lvlJc w:val="left"/>
      <w:pPr>
        <w:ind w:left="3699" w:hanging="360"/>
      </w:pPr>
    </w:lvl>
    <w:lvl w:ilvl="5" w:tentative="0">
      <w:start w:val="1"/>
      <w:numFmt w:val="lowerRoman"/>
      <w:lvlText w:val="%6."/>
      <w:lvlJc w:val="right"/>
      <w:pPr>
        <w:ind w:left="4419" w:hanging="180"/>
      </w:pPr>
    </w:lvl>
    <w:lvl w:ilvl="6" w:tentative="0">
      <w:start w:val="1"/>
      <w:numFmt w:val="decimal"/>
      <w:lvlText w:val="%7."/>
      <w:lvlJc w:val="left"/>
      <w:pPr>
        <w:ind w:left="5139" w:hanging="360"/>
      </w:pPr>
    </w:lvl>
    <w:lvl w:ilvl="7" w:tentative="0">
      <w:start w:val="1"/>
      <w:numFmt w:val="lowerLetter"/>
      <w:lvlText w:val="%8."/>
      <w:lvlJc w:val="left"/>
      <w:pPr>
        <w:ind w:left="5859" w:hanging="360"/>
      </w:pPr>
    </w:lvl>
    <w:lvl w:ilvl="8" w:tentative="0">
      <w:start w:val="1"/>
      <w:numFmt w:val="lowerRoman"/>
      <w:lvlText w:val="%9."/>
      <w:lvlJc w:val="right"/>
      <w:pPr>
        <w:ind w:left="6579" w:hanging="180"/>
      </w:pPr>
    </w:lvl>
  </w:abstractNum>
  <w:abstractNum w:abstractNumId="2">
    <w:nsid w:val="177E6DB6"/>
    <w:multiLevelType w:val="multilevel"/>
    <w:tmpl w:val="177E6DB6"/>
    <w:lvl w:ilvl="0" w:tentative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lowerLetter"/>
      <w:lvlText w:val="%4)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5A743E4"/>
    <w:multiLevelType w:val="multilevel"/>
    <w:tmpl w:val="25A743E4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A7F6506"/>
    <w:multiLevelType w:val="multilevel"/>
    <w:tmpl w:val="3A7F6506"/>
    <w:lvl w:ilvl="0" w:tentative="0">
      <w:start w:val="1"/>
      <w:numFmt w:val="decimal"/>
      <w:lvlText w:val="%1."/>
      <w:lvlJc w:val="left"/>
      <w:pPr>
        <w:ind w:left="819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539" w:hanging="360"/>
      </w:pPr>
    </w:lvl>
    <w:lvl w:ilvl="2" w:tentative="0">
      <w:start w:val="1"/>
      <w:numFmt w:val="lowerRoman"/>
      <w:lvlText w:val="%3."/>
      <w:lvlJc w:val="right"/>
      <w:pPr>
        <w:ind w:left="2259" w:hanging="180"/>
      </w:pPr>
    </w:lvl>
    <w:lvl w:ilvl="3" w:tentative="0">
      <w:start w:val="1"/>
      <w:numFmt w:val="decimal"/>
      <w:lvlText w:val="%4."/>
      <w:lvlJc w:val="left"/>
      <w:pPr>
        <w:ind w:left="2979" w:hanging="360"/>
      </w:pPr>
    </w:lvl>
    <w:lvl w:ilvl="4" w:tentative="0">
      <w:start w:val="1"/>
      <w:numFmt w:val="lowerLetter"/>
      <w:lvlText w:val="%5."/>
      <w:lvlJc w:val="left"/>
      <w:pPr>
        <w:ind w:left="3699" w:hanging="360"/>
      </w:pPr>
    </w:lvl>
    <w:lvl w:ilvl="5" w:tentative="0">
      <w:start w:val="1"/>
      <w:numFmt w:val="lowerRoman"/>
      <w:lvlText w:val="%6."/>
      <w:lvlJc w:val="right"/>
      <w:pPr>
        <w:ind w:left="4419" w:hanging="180"/>
      </w:pPr>
    </w:lvl>
    <w:lvl w:ilvl="6" w:tentative="0">
      <w:start w:val="1"/>
      <w:numFmt w:val="decimal"/>
      <w:lvlText w:val="%7."/>
      <w:lvlJc w:val="left"/>
      <w:pPr>
        <w:ind w:left="5139" w:hanging="360"/>
      </w:pPr>
    </w:lvl>
    <w:lvl w:ilvl="7" w:tentative="0">
      <w:start w:val="1"/>
      <w:numFmt w:val="lowerLetter"/>
      <w:lvlText w:val="%8."/>
      <w:lvlJc w:val="left"/>
      <w:pPr>
        <w:ind w:left="5859" w:hanging="360"/>
      </w:pPr>
    </w:lvl>
    <w:lvl w:ilvl="8" w:tentative="0">
      <w:start w:val="1"/>
      <w:numFmt w:val="lowerRoman"/>
      <w:lvlText w:val="%9."/>
      <w:lvlJc w:val="right"/>
      <w:pPr>
        <w:ind w:left="6579" w:hanging="180"/>
      </w:pPr>
    </w:lvl>
  </w:abstractNum>
  <w:abstractNum w:abstractNumId="5">
    <w:nsid w:val="3EFB5DDC"/>
    <w:multiLevelType w:val="multilevel"/>
    <w:tmpl w:val="3EFB5DDC"/>
    <w:lvl w:ilvl="0" w:tentative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i w:val="0"/>
        <w:color w:val="auto"/>
      </w:rPr>
    </w:lvl>
    <w:lvl w:ilvl="1" w:tentative="0">
      <w:start w:val="1"/>
      <w:numFmt w:val="decimal"/>
      <w:lvlText w:val="%2)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>
    <w:nsid w:val="408731F4"/>
    <w:multiLevelType w:val="multilevel"/>
    <w:tmpl w:val="408731F4"/>
    <w:lvl w:ilvl="0" w:tentative="0">
      <w:start w:val="1"/>
      <w:numFmt w:val="decimal"/>
      <w:lvlText w:val="%1."/>
      <w:lvlJc w:val="left"/>
      <w:pPr>
        <w:ind w:left="1652" w:hanging="360"/>
      </w:pPr>
      <w:rPr>
        <w:rFonts w:hint="default"/>
        <w:b w:val="0"/>
        <w:bCs w:val="0"/>
      </w:rPr>
    </w:lvl>
    <w:lvl w:ilvl="1" w:tentative="0">
      <w:start w:val="1"/>
      <w:numFmt w:val="lowerLetter"/>
      <w:lvlText w:val="%2."/>
      <w:lvlJc w:val="left"/>
      <w:pPr>
        <w:ind w:left="1899" w:hanging="360"/>
      </w:pPr>
    </w:lvl>
    <w:lvl w:ilvl="2" w:tentative="0">
      <w:start w:val="1"/>
      <w:numFmt w:val="lowerRoman"/>
      <w:lvlText w:val="%3."/>
      <w:lvlJc w:val="right"/>
      <w:pPr>
        <w:ind w:left="2619" w:hanging="180"/>
      </w:pPr>
    </w:lvl>
    <w:lvl w:ilvl="3" w:tentative="0">
      <w:start w:val="1"/>
      <w:numFmt w:val="decimal"/>
      <w:lvlText w:val="%4."/>
      <w:lvlJc w:val="left"/>
      <w:pPr>
        <w:ind w:left="3339" w:hanging="360"/>
      </w:pPr>
    </w:lvl>
    <w:lvl w:ilvl="4" w:tentative="0">
      <w:start w:val="1"/>
      <w:numFmt w:val="lowerLetter"/>
      <w:lvlText w:val="%5."/>
      <w:lvlJc w:val="left"/>
      <w:pPr>
        <w:ind w:left="4059" w:hanging="360"/>
      </w:pPr>
    </w:lvl>
    <w:lvl w:ilvl="5" w:tentative="0">
      <w:start w:val="1"/>
      <w:numFmt w:val="lowerRoman"/>
      <w:lvlText w:val="%6."/>
      <w:lvlJc w:val="right"/>
      <w:pPr>
        <w:ind w:left="4779" w:hanging="180"/>
      </w:pPr>
    </w:lvl>
    <w:lvl w:ilvl="6" w:tentative="0">
      <w:start w:val="1"/>
      <w:numFmt w:val="decimal"/>
      <w:lvlText w:val="%7."/>
      <w:lvlJc w:val="left"/>
      <w:pPr>
        <w:ind w:left="5499" w:hanging="360"/>
      </w:pPr>
    </w:lvl>
    <w:lvl w:ilvl="7" w:tentative="0">
      <w:start w:val="1"/>
      <w:numFmt w:val="lowerLetter"/>
      <w:lvlText w:val="%8."/>
      <w:lvlJc w:val="left"/>
      <w:pPr>
        <w:ind w:left="6219" w:hanging="360"/>
      </w:pPr>
    </w:lvl>
    <w:lvl w:ilvl="8" w:tentative="0">
      <w:start w:val="1"/>
      <w:numFmt w:val="lowerRoman"/>
      <w:lvlText w:val="%9."/>
      <w:lvlJc w:val="right"/>
      <w:pPr>
        <w:ind w:left="6939" w:hanging="180"/>
      </w:pPr>
    </w:lvl>
  </w:abstractNum>
  <w:abstractNum w:abstractNumId="7">
    <w:nsid w:val="413E2F45"/>
    <w:multiLevelType w:val="multilevel"/>
    <w:tmpl w:val="413E2F45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 w:ascii="Times New Roman" w:hAnsi="Times New Roman" w:eastAsia="Times New Roman" w:cs="Times New Roman"/>
      </w:rPr>
    </w:lvl>
    <w:lvl w:ilvl="1" w:tentative="0">
      <w:start w:val="1"/>
      <w:numFmt w:val="decimal"/>
      <w:lvlText w:val="%2)"/>
      <w:lvlJc w:val="left"/>
      <w:pPr>
        <w:ind w:left="0" w:firstLine="0"/>
      </w:pPr>
      <w:rPr>
        <w:rFonts w:hint="default" w:ascii="Times New Roman" w:hAnsi="Times New Roman" w:eastAsia="Times New Roman" w:cs="Times New Roman"/>
      </w:rPr>
    </w:lvl>
    <w:lvl w:ilvl="2" w:tentative="0">
      <w:start w:val="1"/>
      <w:numFmt w:val="decimal"/>
      <w:lvlText w:val="%3."/>
      <w:lvlJc w:val="left"/>
      <w:pPr>
        <w:ind w:left="0" w:firstLine="0"/>
      </w:pPr>
      <w:rPr>
        <w:rFonts w:cs="Times New Roman"/>
        <w:b w:val="0"/>
      </w:rPr>
    </w:lvl>
    <w:lvl w:ilvl="3" w:tentative="0">
      <w:start w:val="1"/>
      <w:numFmt w:val="decimal"/>
      <w:lvlText w:val="%4."/>
      <w:lvlJc w:val="left"/>
      <w:pPr>
        <w:ind w:left="0" w:firstLine="0"/>
      </w:pPr>
      <w:rPr>
        <w:rFonts w:cs="Times New Roman"/>
      </w:rPr>
    </w:lvl>
    <w:lvl w:ilvl="4" w:tentative="0">
      <w:start w:val="1"/>
      <w:numFmt w:val="decimal"/>
      <w:lvlText w:val="%5."/>
      <w:lvlJc w:val="left"/>
      <w:pPr>
        <w:ind w:left="0" w:firstLine="0"/>
      </w:pPr>
      <w:rPr>
        <w:rFonts w:cs="Times New Roman"/>
      </w:rPr>
    </w:lvl>
    <w:lvl w:ilvl="5" w:tentative="0">
      <w:start w:val="1"/>
      <w:numFmt w:val="decimal"/>
      <w:lvlText w:val="%6."/>
      <w:lvlJc w:val="left"/>
      <w:pPr>
        <w:ind w:left="0" w:firstLine="0"/>
      </w:pPr>
      <w:rPr>
        <w:rFonts w:cs="Times New Roman"/>
      </w:rPr>
    </w:lvl>
    <w:lvl w:ilvl="6" w:tentative="0">
      <w:start w:val="1"/>
      <w:numFmt w:val="decimal"/>
      <w:lvlText w:val="%7."/>
      <w:lvlJc w:val="left"/>
      <w:pPr>
        <w:ind w:left="0" w:firstLine="0"/>
      </w:pPr>
      <w:rPr>
        <w:rFonts w:cs="Times New Roman"/>
      </w:rPr>
    </w:lvl>
    <w:lvl w:ilvl="7" w:tentative="0">
      <w:start w:val="1"/>
      <w:numFmt w:val="decimal"/>
      <w:lvlText w:val="%8."/>
      <w:lvlJc w:val="left"/>
      <w:pPr>
        <w:ind w:left="0" w:firstLine="0"/>
      </w:pPr>
      <w:rPr>
        <w:rFonts w:cs="Times New Roman"/>
      </w:rPr>
    </w:lvl>
    <w:lvl w:ilvl="8" w:tentative="0">
      <w:start w:val="1"/>
      <w:numFmt w:val="decimal"/>
      <w:lvlText w:val="%9."/>
      <w:lvlJc w:val="left"/>
      <w:pPr>
        <w:ind w:left="0" w:firstLine="0"/>
      </w:pPr>
      <w:rPr>
        <w:rFonts w:cs="Times New Roman"/>
      </w:rPr>
    </w:lvl>
  </w:abstractNum>
  <w:abstractNum w:abstractNumId="8">
    <w:nsid w:val="47E27265"/>
    <w:multiLevelType w:val="multilevel"/>
    <w:tmpl w:val="47E27265"/>
    <w:lvl w:ilvl="0" w:tentative="0">
      <w:start w:val="4"/>
      <w:numFmt w:val="decimal"/>
      <w:lvlText w:val="%1)"/>
      <w:lvlJc w:val="left"/>
      <w:pPr>
        <w:tabs>
          <w:tab w:val="left" w:pos="720"/>
        </w:tabs>
        <w:ind w:left="720" w:hanging="360"/>
      </w:pPr>
      <w:rPr>
        <w:color w:val="auto"/>
      </w:rPr>
    </w:lvl>
    <w:lvl w:ilvl="1" w:tentative="0">
      <w:start w:val="1"/>
      <w:numFmt w:val="bullet"/>
      <w:lvlText w:val=""/>
      <w:lvlJc w:val="left"/>
      <w:pPr>
        <w:tabs>
          <w:tab w:val="left" w:pos="1800"/>
        </w:tabs>
        <w:ind w:left="1800" w:hanging="360"/>
      </w:pPr>
      <w:rPr>
        <w:rFonts w:hint="default" w:ascii="Symbol" w:hAnsi="Symbol"/>
      </w:rPr>
    </w:lvl>
    <w:lvl w:ilvl="2" w:tentative="0">
      <w:start w:val="1"/>
      <w:numFmt w:val="decimal"/>
      <w:lvlText w:val="%3."/>
      <w:lvlJc w:val="left"/>
      <w:pPr>
        <w:tabs>
          <w:tab w:val="left" w:pos="2520"/>
        </w:tabs>
        <w:ind w:left="2520" w:hanging="360"/>
      </w:pPr>
    </w:lvl>
    <w:lvl w:ilvl="3" w:tentative="0">
      <w:start w:val="1"/>
      <w:numFmt w:val="decimal"/>
      <w:lvlText w:val="%4."/>
      <w:lvlJc w:val="left"/>
      <w:pPr>
        <w:tabs>
          <w:tab w:val="left" w:pos="3240"/>
        </w:tabs>
        <w:ind w:left="3240" w:hanging="360"/>
      </w:pPr>
    </w:lvl>
    <w:lvl w:ilvl="4" w:tentative="0">
      <w:start w:val="1"/>
      <w:numFmt w:val="decimal"/>
      <w:lvlText w:val="%5."/>
      <w:lvlJc w:val="left"/>
      <w:pPr>
        <w:tabs>
          <w:tab w:val="left" w:pos="3960"/>
        </w:tabs>
        <w:ind w:left="3960" w:hanging="360"/>
      </w:pPr>
    </w:lvl>
    <w:lvl w:ilvl="5" w:tentative="0">
      <w:start w:val="1"/>
      <w:numFmt w:val="decimal"/>
      <w:lvlText w:val="%6."/>
      <w:lvlJc w:val="left"/>
      <w:pPr>
        <w:tabs>
          <w:tab w:val="left" w:pos="4680"/>
        </w:tabs>
        <w:ind w:left="4680" w:hanging="360"/>
      </w:pPr>
    </w:lvl>
    <w:lvl w:ilvl="6" w:tentative="0">
      <w:start w:val="1"/>
      <w:numFmt w:val="decimal"/>
      <w:lvlText w:val="%7."/>
      <w:lvlJc w:val="left"/>
      <w:pPr>
        <w:tabs>
          <w:tab w:val="left" w:pos="5400"/>
        </w:tabs>
        <w:ind w:left="5400" w:hanging="360"/>
      </w:pPr>
    </w:lvl>
    <w:lvl w:ilvl="7" w:tentative="0">
      <w:start w:val="1"/>
      <w:numFmt w:val="decimal"/>
      <w:lvlText w:val="%8."/>
      <w:lvlJc w:val="left"/>
      <w:pPr>
        <w:tabs>
          <w:tab w:val="left" w:pos="6120"/>
        </w:tabs>
        <w:ind w:left="6120" w:hanging="360"/>
      </w:pPr>
    </w:lvl>
    <w:lvl w:ilvl="8" w:tentative="0">
      <w:start w:val="1"/>
      <w:numFmt w:val="decimal"/>
      <w:lvlText w:val="%9."/>
      <w:lvlJc w:val="left"/>
      <w:pPr>
        <w:tabs>
          <w:tab w:val="left" w:pos="6840"/>
        </w:tabs>
        <w:ind w:left="6840" w:hanging="360"/>
      </w:pPr>
    </w:lvl>
  </w:abstractNum>
  <w:abstractNum w:abstractNumId="9">
    <w:nsid w:val="56EA2751"/>
    <w:multiLevelType w:val="multilevel"/>
    <w:tmpl w:val="56EA2751"/>
    <w:lvl w:ilvl="0" w:tentative="0">
      <w:start w:val="1"/>
      <w:numFmt w:val="decimal"/>
      <w:lvlText w:val="%1."/>
      <w:lvlJc w:val="left"/>
      <w:pPr>
        <w:ind w:left="720" w:hanging="360"/>
      </w:pPr>
    </w:lvl>
    <w:lvl w:ilvl="1" w:tentative="0">
      <w:start w:val="1"/>
      <w:numFmt w:val="decimal"/>
      <w:lvlText w:val="%2."/>
      <w:lvlJc w:val="left"/>
      <w:pPr>
        <w:ind w:left="36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8F44075"/>
    <w:multiLevelType w:val="multilevel"/>
    <w:tmpl w:val="58F44075"/>
    <w:lvl w:ilvl="0" w:tentative="0">
      <w:start w:val="1"/>
      <w:numFmt w:val="lowerLetter"/>
      <w:lvlText w:val="%1)"/>
      <w:lvlJc w:val="left"/>
      <w:pPr>
        <w:ind w:left="1193" w:hanging="360"/>
      </w:pPr>
      <w:rPr>
        <w:rFonts w:hint="default"/>
        <w:b w:val="0"/>
        <w:bCs w:val="0"/>
      </w:rPr>
    </w:lvl>
    <w:lvl w:ilvl="1" w:tentative="0">
      <w:start w:val="1"/>
      <w:numFmt w:val="decimal"/>
      <w:lvlText w:val="%2."/>
      <w:lvlJc w:val="left"/>
      <w:pPr>
        <w:ind w:left="1913" w:hanging="360"/>
      </w:pPr>
      <w:rPr>
        <w:rFonts w:hint="default"/>
      </w:rPr>
    </w:lvl>
    <w:lvl w:ilvl="2" w:tentative="0">
      <w:start w:val="1"/>
      <w:numFmt w:val="lowerRoman"/>
      <w:lvlText w:val="%3."/>
      <w:lvlJc w:val="right"/>
      <w:pPr>
        <w:ind w:left="2633" w:hanging="180"/>
      </w:pPr>
    </w:lvl>
    <w:lvl w:ilvl="3" w:tentative="0">
      <w:start w:val="1"/>
      <w:numFmt w:val="decimal"/>
      <w:lvlText w:val="%4."/>
      <w:lvlJc w:val="left"/>
      <w:pPr>
        <w:ind w:left="3353" w:hanging="360"/>
      </w:pPr>
    </w:lvl>
    <w:lvl w:ilvl="4" w:tentative="0">
      <w:start w:val="1"/>
      <w:numFmt w:val="lowerLetter"/>
      <w:lvlText w:val="%5."/>
      <w:lvlJc w:val="left"/>
      <w:pPr>
        <w:ind w:left="4073" w:hanging="360"/>
      </w:pPr>
    </w:lvl>
    <w:lvl w:ilvl="5" w:tentative="0">
      <w:start w:val="1"/>
      <w:numFmt w:val="lowerRoman"/>
      <w:lvlText w:val="%6."/>
      <w:lvlJc w:val="right"/>
      <w:pPr>
        <w:ind w:left="4793" w:hanging="180"/>
      </w:pPr>
    </w:lvl>
    <w:lvl w:ilvl="6" w:tentative="0">
      <w:start w:val="1"/>
      <w:numFmt w:val="decimal"/>
      <w:lvlText w:val="%7."/>
      <w:lvlJc w:val="left"/>
      <w:pPr>
        <w:ind w:left="5513" w:hanging="360"/>
      </w:pPr>
    </w:lvl>
    <w:lvl w:ilvl="7" w:tentative="0">
      <w:start w:val="1"/>
      <w:numFmt w:val="lowerLetter"/>
      <w:lvlText w:val="%8."/>
      <w:lvlJc w:val="left"/>
      <w:pPr>
        <w:ind w:left="6233" w:hanging="360"/>
      </w:pPr>
    </w:lvl>
    <w:lvl w:ilvl="8" w:tentative="0">
      <w:start w:val="1"/>
      <w:numFmt w:val="lowerRoman"/>
      <w:lvlText w:val="%9."/>
      <w:lvlJc w:val="right"/>
      <w:pPr>
        <w:ind w:left="6953" w:hanging="180"/>
      </w:pPr>
    </w:lvl>
  </w:abstractNum>
  <w:abstractNum w:abstractNumId="11">
    <w:nsid w:val="62732275"/>
    <w:multiLevelType w:val="multilevel"/>
    <w:tmpl w:val="62732275"/>
    <w:lvl w:ilvl="0" w:tentative="0">
      <w:start w:val="1"/>
      <w:numFmt w:val="decimal"/>
      <w:lvlText w:val="%1."/>
      <w:lvlJc w:val="left"/>
      <w:pPr>
        <w:ind w:left="360" w:hanging="360"/>
      </w:pPr>
      <w:rPr>
        <w:rFonts w:ascii="Arial" w:hAnsi="Arial" w:eastAsia="Times New Roman" w:cs="Arial"/>
      </w:rPr>
    </w:lvl>
    <w:lvl w:ilvl="1" w:tentative="0">
      <w:start w:val="1"/>
      <w:numFmt w:val="decimal"/>
      <w:lvlText w:val="%2)"/>
      <w:lvlJc w:val="left"/>
      <w:rPr>
        <w:rFonts w:hint="default" w:ascii="Times New Roman" w:hAnsi="Times New Roman" w:eastAsia="Times New Roman" w:cs="Times New Roman"/>
      </w:rPr>
    </w:lvl>
    <w:lvl w:ilvl="2" w:tentative="0">
      <w:start w:val="1"/>
      <w:numFmt w:val="decimal"/>
      <w:lvlText w:val="%3."/>
      <w:lvlJc w:val="left"/>
      <w:rPr>
        <w:rFonts w:cs="Times New Roman"/>
      </w:rPr>
    </w:lvl>
    <w:lvl w:ilvl="3" w:tentative="0">
      <w:start w:val="1"/>
      <w:numFmt w:val="decimal"/>
      <w:lvlText w:val="%4."/>
      <w:lvlJc w:val="left"/>
      <w:rPr>
        <w:rFonts w:cs="Times New Roman"/>
      </w:rPr>
    </w:lvl>
    <w:lvl w:ilvl="4" w:tentative="0">
      <w:start w:val="1"/>
      <w:numFmt w:val="decimal"/>
      <w:lvlText w:val="%5."/>
      <w:lvlJc w:val="left"/>
      <w:rPr>
        <w:rFonts w:cs="Times New Roman"/>
      </w:rPr>
    </w:lvl>
    <w:lvl w:ilvl="5" w:tentative="0">
      <w:start w:val="1"/>
      <w:numFmt w:val="decimal"/>
      <w:lvlText w:val="%6."/>
      <w:lvlJc w:val="left"/>
      <w:rPr>
        <w:rFonts w:cs="Times New Roman"/>
      </w:rPr>
    </w:lvl>
    <w:lvl w:ilvl="6" w:tentative="0">
      <w:start w:val="1"/>
      <w:numFmt w:val="decimal"/>
      <w:lvlText w:val="%7."/>
      <w:lvlJc w:val="left"/>
      <w:rPr>
        <w:rFonts w:cs="Times New Roman"/>
      </w:rPr>
    </w:lvl>
    <w:lvl w:ilvl="7" w:tentative="0">
      <w:start w:val="1"/>
      <w:numFmt w:val="decimal"/>
      <w:lvlText w:val="%8."/>
      <w:lvlJc w:val="left"/>
      <w:rPr>
        <w:rFonts w:cs="Times New Roman"/>
      </w:rPr>
    </w:lvl>
    <w:lvl w:ilvl="8" w:tentative="0">
      <w:start w:val="1"/>
      <w:numFmt w:val="decimal"/>
      <w:lvlText w:val="%9."/>
      <w:lvlJc w:val="left"/>
      <w:rPr>
        <w:rFonts w:cs="Times New Roman"/>
      </w:rPr>
    </w:lvl>
  </w:abstractNum>
  <w:abstractNum w:abstractNumId="12">
    <w:nsid w:val="74E125E9"/>
    <w:multiLevelType w:val="multilevel"/>
    <w:tmpl w:val="74E125E9"/>
    <w:lvl w:ilvl="0" w:tentative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entative="0">
      <w:start w:val="1"/>
      <w:numFmt w:val="decimal"/>
      <w:lvlText w:val="%2."/>
      <w:lvlJc w:val="left"/>
      <w:pPr>
        <w:ind w:left="1500" w:hanging="420"/>
      </w:pPr>
      <w:rPr>
        <w:rFonts w:hint="default"/>
      </w:r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CDA1742"/>
    <w:multiLevelType w:val="multilevel"/>
    <w:tmpl w:val="7CDA1742"/>
    <w:lvl w:ilvl="0" w:tentative="0">
      <w:start w:val="1"/>
      <w:numFmt w:val="decimal"/>
      <w:lvlText w:val="%1."/>
      <w:lvlJc w:val="left"/>
      <w:pPr>
        <w:ind w:left="540" w:hanging="428"/>
      </w:pPr>
      <w:rPr>
        <w:rFonts w:hint="default" w:ascii="Times New Roman" w:hAnsi="Times New Roman" w:eastAsia="Times New Roman" w:cs="Times New Roman"/>
        <w:w w:val="100"/>
        <w:sz w:val="22"/>
        <w:szCs w:val="22"/>
        <w:lang w:val="pl-PL" w:eastAsia="pl-PL" w:bidi="pl-PL"/>
      </w:rPr>
    </w:lvl>
    <w:lvl w:ilvl="1" w:tentative="0">
      <w:start w:val="1"/>
      <w:numFmt w:val="decimal"/>
      <w:lvlText w:val="%2)"/>
      <w:lvlJc w:val="left"/>
      <w:pPr>
        <w:ind w:left="833" w:hanging="348"/>
      </w:pPr>
      <w:rPr>
        <w:rFonts w:hint="default" w:ascii="Times New Roman" w:hAnsi="Times New Roman" w:eastAsia="Times New Roman" w:cs="Times New Roman"/>
        <w:w w:val="100"/>
        <w:sz w:val="22"/>
        <w:szCs w:val="22"/>
        <w:lang w:val="pl-PL" w:eastAsia="pl-PL" w:bidi="pl-PL"/>
      </w:rPr>
    </w:lvl>
    <w:lvl w:ilvl="2" w:tentative="0">
      <w:start w:val="1"/>
      <w:numFmt w:val="lowerLetter"/>
      <w:lvlText w:val="%3)"/>
      <w:lvlJc w:val="left"/>
      <w:pPr>
        <w:ind w:left="1246" w:hanging="425"/>
      </w:pPr>
      <w:rPr>
        <w:rFonts w:hint="default" w:ascii="Times New Roman" w:hAnsi="Times New Roman" w:eastAsia="Times New Roman" w:cs="Times New Roman"/>
        <w:w w:val="100"/>
        <w:sz w:val="22"/>
        <w:szCs w:val="22"/>
        <w:lang w:val="pl-PL" w:eastAsia="pl-PL" w:bidi="pl-PL"/>
      </w:rPr>
    </w:lvl>
    <w:lvl w:ilvl="3" w:tentative="0">
      <w:start w:val="0"/>
      <w:numFmt w:val="bullet"/>
      <w:lvlText w:val="•"/>
      <w:lvlJc w:val="left"/>
      <w:pPr>
        <w:ind w:left="2318" w:hanging="425"/>
      </w:pPr>
      <w:rPr>
        <w:rFonts w:hint="default"/>
        <w:lang w:val="pl-PL" w:eastAsia="pl-PL" w:bidi="pl-PL"/>
      </w:rPr>
    </w:lvl>
    <w:lvl w:ilvl="4" w:tentative="0">
      <w:start w:val="0"/>
      <w:numFmt w:val="bullet"/>
      <w:lvlText w:val="•"/>
      <w:lvlJc w:val="left"/>
      <w:pPr>
        <w:ind w:left="3396" w:hanging="425"/>
      </w:pPr>
      <w:rPr>
        <w:rFonts w:hint="default"/>
        <w:lang w:val="pl-PL" w:eastAsia="pl-PL" w:bidi="pl-PL"/>
      </w:rPr>
    </w:lvl>
    <w:lvl w:ilvl="5" w:tentative="0">
      <w:start w:val="0"/>
      <w:numFmt w:val="bullet"/>
      <w:lvlText w:val="•"/>
      <w:lvlJc w:val="left"/>
      <w:pPr>
        <w:ind w:left="4474" w:hanging="425"/>
      </w:pPr>
      <w:rPr>
        <w:rFonts w:hint="default"/>
        <w:lang w:val="pl-PL" w:eastAsia="pl-PL" w:bidi="pl-PL"/>
      </w:rPr>
    </w:lvl>
    <w:lvl w:ilvl="6" w:tentative="0">
      <w:start w:val="0"/>
      <w:numFmt w:val="bullet"/>
      <w:lvlText w:val="•"/>
      <w:lvlJc w:val="left"/>
      <w:pPr>
        <w:ind w:left="5553" w:hanging="425"/>
      </w:pPr>
      <w:rPr>
        <w:rFonts w:hint="default"/>
        <w:lang w:val="pl-PL" w:eastAsia="pl-PL" w:bidi="pl-PL"/>
      </w:rPr>
    </w:lvl>
    <w:lvl w:ilvl="7" w:tentative="0">
      <w:start w:val="0"/>
      <w:numFmt w:val="bullet"/>
      <w:lvlText w:val="•"/>
      <w:lvlJc w:val="left"/>
      <w:pPr>
        <w:ind w:left="6631" w:hanging="425"/>
      </w:pPr>
      <w:rPr>
        <w:rFonts w:hint="default"/>
        <w:lang w:val="pl-PL" w:eastAsia="pl-PL" w:bidi="pl-PL"/>
      </w:rPr>
    </w:lvl>
    <w:lvl w:ilvl="8" w:tentative="0">
      <w:start w:val="0"/>
      <w:numFmt w:val="bullet"/>
      <w:lvlText w:val="•"/>
      <w:lvlJc w:val="left"/>
      <w:pPr>
        <w:ind w:left="7709" w:hanging="425"/>
      </w:pPr>
      <w:rPr>
        <w:rFonts w:hint="default"/>
        <w:lang w:val="pl-PL" w:eastAsia="pl-PL" w:bidi="pl-PL"/>
      </w:rPr>
    </w:lvl>
  </w:abstractNum>
  <w:num w:numId="1">
    <w:abstractNumId w:val="13"/>
  </w:num>
  <w:num w:numId="2">
    <w:abstractNumId w:val="0"/>
  </w:num>
  <w:num w:numId="3">
    <w:abstractNumId w:val="1"/>
  </w:num>
  <w:num w:numId="4">
    <w:abstractNumId w:val="9"/>
  </w:num>
  <w:num w:numId="5">
    <w:abstractNumId w:val="12"/>
  </w:num>
  <w:num w:numId="6">
    <w:abstractNumId w:val="10"/>
  </w:num>
  <w:num w:numId="7">
    <w:abstractNumId w:val="8"/>
    <w:lvlOverride w:ilvl="0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  <w:num w:numId="9">
    <w:abstractNumId w:val="3"/>
  </w:num>
  <w:num w:numId="10">
    <w:abstractNumId w:val="11"/>
  </w:num>
  <w:num w:numId="11">
    <w:abstractNumId w:val="2"/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708"/>
  <w:hyphenationZone w:val="425"/>
  <w:drawingGridVerticalSpacing w:val="156"/>
  <w:displayHorizontalDrawingGridEvery w:val="0"/>
  <w:displayVerticalDrawingGridEvery w:val="2"/>
  <w:characterSpacingControl w:val="doNotCompress"/>
  <w:footnotePr>
    <w:footnote w:id="2"/>
    <w:footnote w:id="3"/>
  </w:footnotePr>
  <w:compat>
    <w:spaceForUL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BB0679A"/>
    <w:rsid w:val="0010526F"/>
    <w:rsid w:val="001516D4"/>
    <w:rsid w:val="00173D78"/>
    <w:rsid w:val="00740084"/>
    <w:rsid w:val="00AC7214"/>
    <w:rsid w:val="00B24693"/>
    <w:rsid w:val="00EC0278"/>
    <w:rsid w:val="00FB7D49"/>
    <w:rsid w:val="0AA64F1C"/>
    <w:rsid w:val="11B90BA4"/>
    <w:rsid w:val="17485042"/>
    <w:rsid w:val="231E5D61"/>
    <w:rsid w:val="2C06004A"/>
    <w:rsid w:val="32E93B15"/>
    <w:rsid w:val="3C5D34E6"/>
    <w:rsid w:val="3E142AFF"/>
    <w:rsid w:val="41AA69AB"/>
    <w:rsid w:val="4A742937"/>
    <w:rsid w:val="50D937D0"/>
    <w:rsid w:val="67034111"/>
    <w:rsid w:val="6D080C2D"/>
    <w:rsid w:val="7A351297"/>
    <w:rsid w:val="7BB067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iPriority="99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iPriority="99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utoSpaceDE w:val="0"/>
      <w:autoSpaceDN w:val="0"/>
    </w:pPr>
    <w:rPr>
      <w:rFonts w:ascii="Arial" w:hAnsi="Arial" w:eastAsia="Arial" w:cs="Arial"/>
      <w:sz w:val="22"/>
      <w:szCs w:val="22"/>
      <w:lang w:val="pl-PL" w:eastAsia="pl-PL" w:bidi="pl-PL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qFormat/>
    <w:uiPriority w:val="1"/>
    <w:pPr>
      <w:spacing w:before="120"/>
    </w:pPr>
    <w:rPr>
      <w:sz w:val="24"/>
      <w:szCs w:val="24"/>
    </w:rPr>
  </w:style>
  <w:style w:type="character" w:styleId="5">
    <w:name w:val="footnote reference"/>
    <w:basedOn w:val="2"/>
    <w:semiHidden/>
    <w:unhideWhenUsed/>
    <w:qFormat/>
    <w:uiPriority w:val="99"/>
    <w:rPr>
      <w:vertAlign w:val="superscript"/>
    </w:rPr>
  </w:style>
  <w:style w:type="paragraph" w:styleId="6">
    <w:name w:val="footnote text"/>
    <w:basedOn w:val="1"/>
    <w:semiHidden/>
    <w:unhideWhenUsed/>
    <w:qFormat/>
    <w:uiPriority w:val="99"/>
    <w:rPr>
      <w:sz w:val="20"/>
      <w:szCs w:val="20"/>
    </w:rPr>
  </w:style>
  <w:style w:type="paragraph" w:styleId="7">
    <w:name w:val="Plain Text"/>
    <w:basedOn w:val="1"/>
    <w:qFormat/>
    <w:uiPriority w:val="99"/>
    <w:pPr>
      <w:widowControl/>
      <w:autoSpaceDE/>
      <w:autoSpaceDN/>
    </w:pPr>
    <w:rPr>
      <w:rFonts w:ascii="Courier New" w:hAnsi="Courier New" w:eastAsia="Times New Roman" w:cs="Courier New"/>
      <w:sz w:val="20"/>
      <w:szCs w:val="20"/>
      <w:lang w:bidi="ar-SA"/>
    </w:rPr>
  </w:style>
  <w:style w:type="table" w:styleId="8">
    <w:name w:val="Table Grid"/>
    <w:basedOn w:val="3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9">
    <w:name w:val="List Paragraph"/>
    <w:basedOn w:val="1"/>
    <w:qFormat/>
    <w:uiPriority w:val="0"/>
    <w:pPr>
      <w:spacing w:before="120"/>
      <w:ind w:left="833" w:hanging="360"/>
      <w:jc w:val="both"/>
    </w:pPr>
  </w:style>
  <w:style w:type="paragraph" w:customStyle="1" w:styleId="10">
    <w:name w:val="Standard"/>
    <w:qFormat/>
    <w:uiPriority w:val="99"/>
    <w:pPr>
      <w:suppressAutoHyphens/>
      <w:autoSpaceDN w:val="0"/>
    </w:pPr>
    <w:rPr>
      <w:rFonts w:ascii="Times New Roman" w:hAnsi="Times New Roman" w:eastAsia="Times New Roman" w:cs="Times New Roman"/>
      <w:kern w:val="3"/>
      <w:lang w:val="pl-PL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18</Pages>
  <Words>4293</Words>
  <Characters>25764</Characters>
  <Lines>214</Lines>
  <Paragraphs>59</Paragraphs>
  <TotalTime>13</TotalTime>
  <ScaleCrop>false</ScaleCrop>
  <LinksUpToDate>false</LinksUpToDate>
  <CharactersWithSpaces>29998</CharactersWithSpaces>
  <Application>WPS Office_12.2.0.18911_F1E327BC-269C-435d-A152-05C5408002CA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2023-11-15T13:00:00Z</dcterms:created>
  <dc:creator>UMiG</dc:creator>
  <cp:lastModifiedBy>WPS_1704352880</cp:lastModifiedBy>
  <dcterms:modified xsi:type="dcterms:W3CDTF">2024-11-26T08:37:50Z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1045-12.2.0.18911</vt:lpwstr>
  </property>
  <property fmtid="{D5CDD505-2E9C-101B-9397-08002B2CF9AE}" pid="3" name="ICV">
    <vt:lpwstr>8862D1B2CD324AE5B972CAE377166696_11</vt:lpwstr>
  </property>
</Properties>
</file>